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33E7F" w14:textId="77777777" w:rsidR="00135311" w:rsidRDefault="00FD2E7F">
      <w:pPr>
        <w:pStyle w:val="Heading1"/>
        <w:keepNext w:val="0"/>
      </w:pPr>
      <w:r>
        <w:t>Key information about the home</w:t>
      </w:r>
    </w:p>
    <w:p w14:paraId="7F81486D" w14:textId="77777777" w:rsidR="00135311" w:rsidRDefault="00FD2E7F">
      <w:r>
        <w:t>There are variations of shared ownership models which have different features. The model of shared ownership may vary depending on:</w:t>
      </w:r>
    </w:p>
    <w:p w14:paraId="1DC489F1" w14:textId="77777777" w:rsidR="00135311" w:rsidRDefault="00FD2E7F">
      <w:pPr>
        <w:pStyle w:val="ListParagraph"/>
        <w:numPr>
          <w:ilvl w:val="0"/>
          <w:numId w:val="1"/>
        </w:numPr>
      </w:pPr>
      <w:r>
        <w:t>what rules were in place at the time the home was funded or planning permission granted</w:t>
      </w:r>
    </w:p>
    <w:p w14:paraId="17EC9E45" w14:textId="77777777" w:rsidR="00135311" w:rsidRDefault="00FD2E7F">
      <w:pPr>
        <w:pStyle w:val="ListParagraph"/>
        <w:numPr>
          <w:ilvl w:val="0"/>
          <w:numId w:val="1"/>
        </w:numPr>
      </w:pPr>
      <w:r>
        <w:t>where the home is located</w:t>
      </w:r>
    </w:p>
    <w:p w14:paraId="6B808DFD" w14:textId="77777777" w:rsidR="00135311" w:rsidRDefault="00FD2E7F">
      <w:pPr>
        <w:pStyle w:val="ListParagraph"/>
        <w:numPr>
          <w:ilvl w:val="0"/>
          <w:numId w:val="1"/>
        </w:numPr>
      </w:pPr>
      <w:r>
        <w:t>whether the home is for a specific group of people</w:t>
      </w:r>
    </w:p>
    <w:p w14:paraId="3DD40358" w14:textId="77777777" w:rsidR="00135311" w:rsidRDefault="00FD2E7F">
      <w:r>
        <w:t xml:space="preserve">The table below highlights the key features of common shared ownership schemes. The information in this document is for the </w:t>
      </w:r>
      <w:r>
        <w:rPr>
          <w:b/>
          <w:bCs/>
        </w:rPr>
        <w:t>new model shared ownership.</w:t>
      </w:r>
    </w:p>
    <w:tbl>
      <w:tblPr>
        <w:tblW w:w="8936" w:type="dxa"/>
        <w:tblLayout w:type="fixed"/>
        <w:tblCellMar>
          <w:left w:w="0" w:type="dxa"/>
          <w:right w:w="0" w:type="dxa"/>
        </w:tblCellMar>
        <w:tblLook w:val="0000" w:firstRow="0" w:lastRow="0" w:firstColumn="0" w:lastColumn="0" w:noHBand="0" w:noVBand="0"/>
      </w:tblPr>
      <w:tblGrid>
        <w:gridCol w:w="2488"/>
        <w:gridCol w:w="2149"/>
        <w:gridCol w:w="2149"/>
        <w:gridCol w:w="2150"/>
      </w:tblGrid>
      <w:tr w:rsidR="00135311" w14:paraId="3C81C9E4" w14:textId="77777777">
        <w:trPr>
          <w:trHeight w:val="580"/>
        </w:trPr>
        <w:tc>
          <w:tcPr>
            <w:tcW w:w="2488" w:type="dxa"/>
            <w:tcBorders>
              <w:top w:val="single" w:sz="6" w:space="0" w:color="000000"/>
              <w:left w:val="single" w:sz="6" w:space="0" w:color="000000"/>
              <w:bottom w:val="single" w:sz="6" w:space="0" w:color="000000"/>
              <w:right w:val="single" w:sz="6" w:space="0" w:color="000000"/>
            </w:tcBorders>
          </w:tcPr>
          <w:p w14:paraId="0991181F" w14:textId="77777777" w:rsidR="00135311" w:rsidRDefault="00FD2E7F">
            <w:pPr>
              <w:keepLines w:val="0"/>
              <w:spacing w:before="0" w:after="0"/>
              <w:jc w:val="center"/>
            </w:pPr>
            <w:r>
              <w:rPr>
                <w:rFonts w:eastAsia="Times New Roman"/>
                <w:b/>
                <w:bCs/>
                <w:lang w:eastAsia="en-GB"/>
              </w:rPr>
              <w:t>Shared ownership model</w:t>
            </w:r>
          </w:p>
        </w:tc>
        <w:tc>
          <w:tcPr>
            <w:tcW w:w="2149" w:type="dxa"/>
            <w:tcBorders>
              <w:top w:val="single" w:sz="6" w:space="0" w:color="000000"/>
              <w:bottom w:val="single" w:sz="6" w:space="0" w:color="000000"/>
              <w:right w:val="single" w:sz="6" w:space="0" w:color="000000"/>
            </w:tcBorders>
            <w:shd w:val="clear" w:color="auto" w:fill="D9D9D9"/>
          </w:tcPr>
          <w:p w14:paraId="1E5705E0" w14:textId="77777777" w:rsidR="00135311" w:rsidRDefault="00FD2E7F">
            <w:pPr>
              <w:keepLines w:val="0"/>
              <w:spacing w:before="0" w:after="0"/>
              <w:jc w:val="center"/>
            </w:pPr>
            <w:r>
              <w:rPr>
                <w:rFonts w:eastAsia="Times New Roman"/>
                <w:b/>
                <w:bCs/>
                <w:lang w:eastAsia="en-GB"/>
              </w:rPr>
              <w:t>Older model shared ownership</w:t>
            </w:r>
          </w:p>
        </w:tc>
        <w:tc>
          <w:tcPr>
            <w:tcW w:w="2149" w:type="dxa"/>
            <w:tcBorders>
              <w:top w:val="single" w:sz="6" w:space="0" w:color="000000"/>
              <w:bottom w:val="single" w:sz="6" w:space="0" w:color="000000"/>
              <w:right w:val="single" w:sz="6" w:space="0" w:color="000000"/>
            </w:tcBorders>
            <w:shd w:val="clear" w:color="auto" w:fill="D9D9D9"/>
          </w:tcPr>
          <w:p w14:paraId="0B892716" w14:textId="77777777" w:rsidR="00135311" w:rsidRDefault="00FD2E7F">
            <w:pPr>
              <w:keepLines w:val="0"/>
              <w:spacing w:before="0" w:after="0"/>
              <w:jc w:val="center"/>
            </w:pPr>
            <w:r>
              <w:rPr>
                <w:rFonts w:eastAsia="Times New Roman"/>
                <w:b/>
                <w:bCs/>
                <w:lang w:eastAsia="en-GB"/>
              </w:rPr>
              <w:t>Standard model shared ownership</w:t>
            </w:r>
          </w:p>
        </w:tc>
        <w:tc>
          <w:tcPr>
            <w:tcW w:w="2150" w:type="dxa"/>
            <w:tcBorders>
              <w:top w:val="single" w:sz="6" w:space="0" w:color="000000"/>
              <w:bottom w:val="single" w:sz="6" w:space="0" w:color="000000"/>
              <w:right w:val="single" w:sz="6" w:space="0" w:color="000000"/>
            </w:tcBorders>
          </w:tcPr>
          <w:p w14:paraId="27AD4020" w14:textId="77777777" w:rsidR="00135311" w:rsidRDefault="00FD2E7F">
            <w:pPr>
              <w:keepLines w:val="0"/>
              <w:spacing w:before="0" w:after="0"/>
              <w:jc w:val="center"/>
            </w:pPr>
            <w:r>
              <w:rPr>
                <w:rFonts w:eastAsia="Times New Roman"/>
                <w:b/>
                <w:bCs/>
                <w:lang w:eastAsia="en-GB"/>
              </w:rPr>
              <w:t>New model shared ownership</w:t>
            </w:r>
          </w:p>
        </w:tc>
      </w:tr>
      <w:tr w:rsidR="00135311" w14:paraId="61029AAD" w14:textId="77777777">
        <w:trPr>
          <w:trHeight w:val="327"/>
        </w:trPr>
        <w:tc>
          <w:tcPr>
            <w:tcW w:w="2488" w:type="dxa"/>
            <w:tcBorders>
              <w:left w:val="single" w:sz="6" w:space="0" w:color="000000"/>
              <w:bottom w:val="single" w:sz="6" w:space="0" w:color="000000"/>
              <w:right w:val="single" w:sz="6" w:space="0" w:color="000000"/>
            </w:tcBorders>
          </w:tcPr>
          <w:p w14:paraId="5A2B077E" w14:textId="77777777" w:rsidR="00135311" w:rsidRDefault="00FD2E7F">
            <w:pPr>
              <w:keepLines w:val="0"/>
              <w:spacing w:before="0" w:after="0"/>
              <w:jc w:val="center"/>
            </w:pPr>
            <w:r>
              <w:rPr>
                <w:rFonts w:eastAsia="Times New Roman"/>
                <w:b/>
                <w:bCs/>
                <w:lang w:eastAsia="en-GB"/>
              </w:rPr>
              <w:t>Minimum initial share</w:t>
            </w:r>
          </w:p>
        </w:tc>
        <w:tc>
          <w:tcPr>
            <w:tcW w:w="2149" w:type="dxa"/>
            <w:tcBorders>
              <w:bottom w:val="single" w:sz="6" w:space="0" w:color="000000"/>
              <w:right w:val="single" w:sz="6" w:space="0" w:color="000000"/>
            </w:tcBorders>
            <w:shd w:val="clear" w:color="auto" w:fill="D9D9D9"/>
          </w:tcPr>
          <w:p w14:paraId="3FCB5A8B" w14:textId="77777777" w:rsidR="00135311" w:rsidRDefault="00FD2E7F">
            <w:pPr>
              <w:keepLines w:val="0"/>
              <w:spacing w:before="0" w:after="0"/>
              <w:jc w:val="center"/>
            </w:pPr>
            <w:r>
              <w:rPr>
                <w:rFonts w:eastAsia="Times New Roman"/>
                <w:lang w:eastAsia="en-GB"/>
              </w:rPr>
              <w:t>25%</w:t>
            </w:r>
          </w:p>
        </w:tc>
        <w:tc>
          <w:tcPr>
            <w:tcW w:w="2149" w:type="dxa"/>
            <w:tcBorders>
              <w:bottom w:val="single" w:sz="6" w:space="0" w:color="000000"/>
              <w:right w:val="single" w:sz="6" w:space="0" w:color="000000"/>
            </w:tcBorders>
            <w:shd w:val="clear" w:color="auto" w:fill="D9D9D9"/>
          </w:tcPr>
          <w:p w14:paraId="775D644E" w14:textId="77777777" w:rsidR="00135311" w:rsidRDefault="00FD2E7F">
            <w:pPr>
              <w:keepLines w:val="0"/>
              <w:spacing w:before="0" w:after="0"/>
              <w:jc w:val="center"/>
            </w:pPr>
            <w:r>
              <w:rPr>
                <w:rFonts w:eastAsia="Times New Roman"/>
                <w:lang w:eastAsia="en-GB"/>
              </w:rPr>
              <w:t>25%</w:t>
            </w:r>
          </w:p>
        </w:tc>
        <w:tc>
          <w:tcPr>
            <w:tcW w:w="2150" w:type="dxa"/>
            <w:tcBorders>
              <w:bottom w:val="single" w:sz="6" w:space="0" w:color="000000"/>
              <w:right w:val="single" w:sz="6" w:space="0" w:color="000000"/>
            </w:tcBorders>
          </w:tcPr>
          <w:p w14:paraId="54DDEE0F" w14:textId="77777777" w:rsidR="00135311" w:rsidRDefault="00FD2E7F">
            <w:pPr>
              <w:keepLines w:val="0"/>
              <w:spacing w:before="0" w:after="0"/>
              <w:jc w:val="center"/>
            </w:pPr>
            <w:r>
              <w:rPr>
                <w:rFonts w:eastAsia="Times New Roman"/>
                <w:lang w:eastAsia="en-GB"/>
              </w:rPr>
              <w:t>10%</w:t>
            </w:r>
          </w:p>
        </w:tc>
      </w:tr>
      <w:tr w:rsidR="00135311" w14:paraId="38F8AE4B" w14:textId="77777777">
        <w:trPr>
          <w:trHeight w:val="1152"/>
        </w:trPr>
        <w:tc>
          <w:tcPr>
            <w:tcW w:w="2488" w:type="dxa"/>
            <w:tcBorders>
              <w:left w:val="single" w:sz="6" w:space="0" w:color="000000"/>
              <w:bottom w:val="single" w:sz="6" w:space="0" w:color="000000"/>
              <w:right w:val="single" w:sz="6" w:space="0" w:color="000000"/>
            </w:tcBorders>
          </w:tcPr>
          <w:p w14:paraId="3BF4C7E6" w14:textId="77777777" w:rsidR="00135311" w:rsidRDefault="00FD2E7F">
            <w:pPr>
              <w:keepLines w:val="0"/>
              <w:spacing w:before="0" w:after="0"/>
              <w:jc w:val="center"/>
            </w:pPr>
            <w:r>
              <w:rPr>
                <w:rFonts w:eastAsia="Times New Roman"/>
                <w:b/>
                <w:bCs/>
                <w:lang w:eastAsia="en-GB"/>
              </w:rPr>
              <w:t>Lease length</w:t>
            </w:r>
          </w:p>
        </w:tc>
        <w:tc>
          <w:tcPr>
            <w:tcW w:w="2149" w:type="dxa"/>
            <w:tcBorders>
              <w:bottom w:val="single" w:sz="6" w:space="0" w:color="000000"/>
              <w:right w:val="single" w:sz="6" w:space="0" w:color="000000"/>
            </w:tcBorders>
            <w:shd w:val="clear" w:color="auto" w:fill="D9D9D9"/>
          </w:tcPr>
          <w:p w14:paraId="38A58F5B" w14:textId="77777777" w:rsidR="00135311" w:rsidRDefault="00FD2E7F">
            <w:pPr>
              <w:keepLines w:val="0"/>
              <w:spacing w:before="0" w:after="0"/>
              <w:jc w:val="center"/>
            </w:pPr>
            <w:r>
              <w:rPr>
                <w:rFonts w:eastAsia="Times New Roman"/>
                <w:lang w:eastAsia="en-GB"/>
              </w:rPr>
              <w:t>Typically, leases were issued for 99 years from new</w:t>
            </w:r>
          </w:p>
        </w:tc>
        <w:tc>
          <w:tcPr>
            <w:tcW w:w="2149" w:type="dxa"/>
            <w:tcBorders>
              <w:bottom w:val="single" w:sz="6" w:space="0" w:color="000000"/>
              <w:right w:val="single" w:sz="6" w:space="0" w:color="000000"/>
            </w:tcBorders>
            <w:shd w:val="clear" w:color="auto" w:fill="D9D9D9"/>
          </w:tcPr>
          <w:p w14:paraId="427976DE" w14:textId="77777777" w:rsidR="00135311" w:rsidRDefault="00FD2E7F">
            <w:pPr>
              <w:keepLines w:val="0"/>
              <w:spacing w:before="0" w:after="0"/>
              <w:jc w:val="center"/>
            </w:pPr>
            <w:r>
              <w:rPr>
                <w:rFonts w:eastAsia="Times New Roman"/>
                <w:lang w:eastAsia="en-GB"/>
              </w:rPr>
              <w:t>Leases are for a minimum of 99 years from new but typically at least 125 years</w:t>
            </w:r>
          </w:p>
        </w:tc>
        <w:tc>
          <w:tcPr>
            <w:tcW w:w="2150" w:type="dxa"/>
            <w:tcBorders>
              <w:bottom w:val="single" w:sz="6" w:space="0" w:color="000000"/>
              <w:right w:val="single" w:sz="6" w:space="0" w:color="000000"/>
            </w:tcBorders>
          </w:tcPr>
          <w:p w14:paraId="48D1F033" w14:textId="77777777" w:rsidR="00135311" w:rsidRDefault="00FD2E7F">
            <w:pPr>
              <w:keepLines w:val="0"/>
              <w:spacing w:before="0" w:after="0"/>
              <w:jc w:val="center"/>
            </w:pPr>
            <w:r>
              <w:rPr>
                <w:rFonts w:eastAsia="Times New Roman"/>
                <w:lang w:eastAsia="en-GB"/>
              </w:rPr>
              <w:t>Leases will be for a minimum of 990 years from new</w:t>
            </w:r>
          </w:p>
        </w:tc>
      </w:tr>
      <w:tr w:rsidR="00135311" w14:paraId="5520271F" w14:textId="77777777">
        <w:trPr>
          <w:trHeight w:val="290"/>
        </w:trPr>
        <w:tc>
          <w:tcPr>
            <w:tcW w:w="2488" w:type="dxa"/>
            <w:tcBorders>
              <w:left w:val="single" w:sz="6" w:space="0" w:color="000000"/>
              <w:bottom w:val="single" w:sz="6" w:space="0" w:color="000000"/>
              <w:right w:val="single" w:sz="6" w:space="0" w:color="000000"/>
            </w:tcBorders>
          </w:tcPr>
          <w:p w14:paraId="37433DF3" w14:textId="77777777" w:rsidR="00135311" w:rsidRDefault="00FD2E7F">
            <w:pPr>
              <w:keepLines w:val="0"/>
              <w:spacing w:before="0" w:after="0"/>
              <w:jc w:val="center"/>
            </w:pPr>
            <w:r>
              <w:rPr>
                <w:rFonts w:eastAsia="Times New Roman"/>
                <w:b/>
                <w:bCs/>
                <w:lang w:eastAsia="en-GB"/>
              </w:rPr>
              <w:t>Initial repair period</w:t>
            </w:r>
          </w:p>
        </w:tc>
        <w:tc>
          <w:tcPr>
            <w:tcW w:w="2149" w:type="dxa"/>
            <w:tcBorders>
              <w:bottom w:val="single" w:sz="6" w:space="0" w:color="000000"/>
              <w:right w:val="single" w:sz="6" w:space="0" w:color="000000"/>
            </w:tcBorders>
            <w:shd w:val="clear" w:color="auto" w:fill="D9D9D9"/>
          </w:tcPr>
          <w:p w14:paraId="29AC70CA" w14:textId="77777777" w:rsidR="00135311" w:rsidRDefault="00FD2E7F">
            <w:pPr>
              <w:keepLines w:val="0"/>
              <w:spacing w:before="0" w:after="0"/>
              <w:jc w:val="center"/>
            </w:pPr>
            <w:r>
              <w:rPr>
                <w:rFonts w:eastAsia="Times New Roman"/>
                <w:lang w:eastAsia="en-GB"/>
              </w:rPr>
              <w:t>No</w:t>
            </w:r>
          </w:p>
        </w:tc>
        <w:tc>
          <w:tcPr>
            <w:tcW w:w="2149" w:type="dxa"/>
            <w:tcBorders>
              <w:bottom w:val="single" w:sz="6" w:space="0" w:color="000000"/>
              <w:right w:val="single" w:sz="6" w:space="0" w:color="000000"/>
            </w:tcBorders>
            <w:shd w:val="clear" w:color="auto" w:fill="D9D9D9"/>
          </w:tcPr>
          <w:p w14:paraId="576FC33B" w14:textId="77777777" w:rsidR="00135311" w:rsidRDefault="00FD2E7F">
            <w:pPr>
              <w:keepLines w:val="0"/>
              <w:spacing w:before="0" w:after="0"/>
              <w:jc w:val="center"/>
            </w:pPr>
            <w:r>
              <w:rPr>
                <w:rFonts w:eastAsia="Times New Roman"/>
                <w:lang w:eastAsia="en-GB"/>
              </w:rPr>
              <w:t>No</w:t>
            </w:r>
          </w:p>
        </w:tc>
        <w:tc>
          <w:tcPr>
            <w:tcW w:w="2150" w:type="dxa"/>
            <w:tcBorders>
              <w:bottom w:val="single" w:sz="6" w:space="0" w:color="000000"/>
              <w:right w:val="single" w:sz="6" w:space="0" w:color="000000"/>
            </w:tcBorders>
          </w:tcPr>
          <w:p w14:paraId="75A1A411" w14:textId="77777777" w:rsidR="00135311" w:rsidRDefault="00FD2E7F">
            <w:pPr>
              <w:keepLines w:val="0"/>
              <w:spacing w:before="0" w:after="0"/>
              <w:jc w:val="center"/>
            </w:pPr>
            <w:r>
              <w:rPr>
                <w:rFonts w:eastAsia="Times New Roman"/>
                <w:lang w:eastAsia="en-GB"/>
              </w:rPr>
              <w:t>Yes</w:t>
            </w:r>
          </w:p>
        </w:tc>
      </w:tr>
      <w:tr w:rsidR="00135311" w14:paraId="616387E7" w14:textId="77777777">
        <w:trPr>
          <w:trHeight w:val="580"/>
        </w:trPr>
        <w:tc>
          <w:tcPr>
            <w:tcW w:w="2488" w:type="dxa"/>
            <w:tcBorders>
              <w:left w:val="single" w:sz="6" w:space="0" w:color="000000"/>
              <w:bottom w:val="single" w:sz="6" w:space="0" w:color="000000"/>
              <w:right w:val="single" w:sz="6" w:space="0" w:color="000000"/>
            </w:tcBorders>
          </w:tcPr>
          <w:p w14:paraId="4D89AF58" w14:textId="77777777" w:rsidR="00135311" w:rsidRDefault="00FD2E7F">
            <w:pPr>
              <w:keepLines w:val="0"/>
              <w:spacing w:before="0" w:after="0"/>
              <w:jc w:val="center"/>
            </w:pPr>
            <w:r>
              <w:rPr>
                <w:rFonts w:eastAsia="Times New Roman"/>
                <w:b/>
                <w:bCs/>
                <w:lang w:eastAsia="en-GB"/>
              </w:rPr>
              <w:t>Buying more shares - minimum purchase</w:t>
            </w:r>
          </w:p>
        </w:tc>
        <w:tc>
          <w:tcPr>
            <w:tcW w:w="2149" w:type="dxa"/>
            <w:tcBorders>
              <w:bottom w:val="single" w:sz="6" w:space="0" w:color="000000"/>
              <w:right w:val="single" w:sz="6" w:space="0" w:color="000000"/>
            </w:tcBorders>
            <w:shd w:val="clear" w:color="auto" w:fill="D9D9D9"/>
            <w:vAlign w:val="center"/>
          </w:tcPr>
          <w:p w14:paraId="3618B011" w14:textId="77777777" w:rsidR="00135311" w:rsidRDefault="00FD2E7F">
            <w:pPr>
              <w:keepLines w:val="0"/>
              <w:spacing w:before="0" w:after="0"/>
              <w:jc w:val="center"/>
            </w:pPr>
            <w:r>
              <w:rPr>
                <w:rFonts w:eastAsia="Times New Roman"/>
                <w:lang w:eastAsia="en-GB"/>
              </w:rPr>
              <w:t>10% or 25%</w:t>
            </w:r>
          </w:p>
        </w:tc>
        <w:tc>
          <w:tcPr>
            <w:tcW w:w="2149" w:type="dxa"/>
            <w:tcBorders>
              <w:bottom w:val="single" w:sz="6" w:space="0" w:color="000000"/>
              <w:right w:val="single" w:sz="6" w:space="0" w:color="000000"/>
            </w:tcBorders>
            <w:shd w:val="clear" w:color="auto" w:fill="D9D9D9"/>
            <w:vAlign w:val="center"/>
          </w:tcPr>
          <w:p w14:paraId="6C2741A2" w14:textId="77777777" w:rsidR="00135311" w:rsidRDefault="00FD2E7F">
            <w:pPr>
              <w:keepLines w:val="0"/>
              <w:spacing w:before="0" w:after="0"/>
              <w:jc w:val="center"/>
            </w:pPr>
            <w:r>
              <w:rPr>
                <w:rFonts w:eastAsia="Times New Roman"/>
                <w:lang w:eastAsia="en-GB"/>
              </w:rPr>
              <w:t>10%</w:t>
            </w:r>
          </w:p>
        </w:tc>
        <w:tc>
          <w:tcPr>
            <w:tcW w:w="2150" w:type="dxa"/>
            <w:tcBorders>
              <w:bottom w:val="single" w:sz="6" w:space="0" w:color="000000"/>
              <w:right w:val="single" w:sz="6" w:space="0" w:color="000000"/>
            </w:tcBorders>
            <w:vAlign w:val="center"/>
          </w:tcPr>
          <w:p w14:paraId="390DCC4D" w14:textId="77777777" w:rsidR="00135311" w:rsidRDefault="00FD2E7F">
            <w:pPr>
              <w:keepLines w:val="0"/>
              <w:spacing w:before="0" w:after="0"/>
              <w:jc w:val="center"/>
            </w:pPr>
            <w:r>
              <w:rPr>
                <w:rFonts w:eastAsia="Times New Roman"/>
                <w:lang w:eastAsia="en-GB"/>
              </w:rPr>
              <w:t>5%</w:t>
            </w:r>
          </w:p>
        </w:tc>
      </w:tr>
      <w:tr w:rsidR="00135311" w14:paraId="52DA4289" w14:textId="77777777">
        <w:trPr>
          <w:trHeight w:val="290"/>
        </w:trPr>
        <w:tc>
          <w:tcPr>
            <w:tcW w:w="2488" w:type="dxa"/>
            <w:tcBorders>
              <w:left w:val="single" w:sz="6" w:space="0" w:color="000000"/>
              <w:bottom w:val="single" w:sz="6" w:space="0" w:color="000000"/>
              <w:right w:val="single" w:sz="6" w:space="0" w:color="000000"/>
            </w:tcBorders>
          </w:tcPr>
          <w:p w14:paraId="42619244" w14:textId="77777777" w:rsidR="00135311" w:rsidRDefault="00FD2E7F">
            <w:pPr>
              <w:keepLines w:val="0"/>
              <w:spacing w:before="0" w:after="0"/>
              <w:jc w:val="center"/>
            </w:pPr>
            <w:r>
              <w:rPr>
                <w:rFonts w:eastAsia="Times New Roman"/>
                <w:b/>
                <w:bCs/>
                <w:lang w:eastAsia="en-GB"/>
              </w:rPr>
              <w:t>1% share purchase</w:t>
            </w:r>
          </w:p>
        </w:tc>
        <w:tc>
          <w:tcPr>
            <w:tcW w:w="2149" w:type="dxa"/>
            <w:tcBorders>
              <w:bottom w:val="single" w:sz="6" w:space="0" w:color="000000"/>
              <w:right w:val="single" w:sz="6" w:space="0" w:color="000000"/>
            </w:tcBorders>
            <w:shd w:val="clear" w:color="auto" w:fill="D9D9D9"/>
          </w:tcPr>
          <w:p w14:paraId="34352361" w14:textId="77777777" w:rsidR="00135311" w:rsidRDefault="00FD2E7F">
            <w:pPr>
              <w:keepLines w:val="0"/>
              <w:spacing w:before="0" w:after="0"/>
              <w:jc w:val="center"/>
            </w:pPr>
            <w:r>
              <w:rPr>
                <w:rFonts w:eastAsia="Times New Roman"/>
                <w:lang w:eastAsia="en-GB"/>
              </w:rPr>
              <w:t>No</w:t>
            </w:r>
          </w:p>
        </w:tc>
        <w:tc>
          <w:tcPr>
            <w:tcW w:w="2149" w:type="dxa"/>
            <w:tcBorders>
              <w:bottom w:val="single" w:sz="6" w:space="0" w:color="000000"/>
              <w:right w:val="single" w:sz="6" w:space="0" w:color="000000"/>
            </w:tcBorders>
            <w:shd w:val="clear" w:color="auto" w:fill="D9D9D9"/>
          </w:tcPr>
          <w:p w14:paraId="759B108F" w14:textId="77777777" w:rsidR="00135311" w:rsidRDefault="00FD2E7F">
            <w:pPr>
              <w:keepLines w:val="0"/>
              <w:spacing w:before="0" w:after="0"/>
              <w:jc w:val="center"/>
            </w:pPr>
            <w:r>
              <w:rPr>
                <w:rFonts w:eastAsia="Times New Roman"/>
                <w:lang w:eastAsia="en-GB"/>
              </w:rPr>
              <w:t>No</w:t>
            </w:r>
          </w:p>
        </w:tc>
        <w:tc>
          <w:tcPr>
            <w:tcW w:w="2150" w:type="dxa"/>
            <w:tcBorders>
              <w:bottom w:val="single" w:sz="6" w:space="0" w:color="000000"/>
              <w:right w:val="single" w:sz="6" w:space="0" w:color="000000"/>
            </w:tcBorders>
          </w:tcPr>
          <w:p w14:paraId="58D7335C" w14:textId="77777777" w:rsidR="00135311" w:rsidRDefault="00FD2E7F">
            <w:pPr>
              <w:keepLines w:val="0"/>
              <w:spacing w:before="0" w:after="0"/>
              <w:jc w:val="center"/>
            </w:pPr>
            <w:r>
              <w:rPr>
                <w:rFonts w:eastAsia="Times New Roman"/>
                <w:lang w:eastAsia="en-GB"/>
              </w:rPr>
              <w:t>Yes</w:t>
            </w:r>
          </w:p>
        </w:tc>
      </w:tr>
      <w:tr w:rsidR="00135311" w14:paraId="2654F6B8" w14:textId="77777777">
        <w:trPr>
          <w:trHeight w:val="572"/>
        </w:trPr>
        <w:tc>
          <w:tcPr>
            <w:tcW w:w="2488" w:type="dxa"/>
            <w:tcBorders>
              <w:left w:val="single" w:sz="6" w:space="0" w:color="000000"/>
              <w:bottom w:val="single" w:sz="6" w:space="0" w:color="000000"/>
              <w:right w:val="single" w:sz="6" w:space="0" w:color="000000"/>
            </w:tcBorders>
          </w:tcPr>
          <w:p w14:paraId="1A37741D" w14:textId="77777777" w:rsidR="00135311" w:rsidRDefault="00FD2E7F">
            <w:pPr>
              <w:keepLines w:val="0"/>
              <w:spacing w:before="0" w:after="0"/>
              <w:jc w:val="center"/>
            </w:pPr>
            <w:r>
              <w:rPr>
                <w:rFonts w:eastAsia="Times New Roman"/>
                <w:b/>
                <w:bCs/>
                <w:lang w:eastAsia="en-GB"/>
              </w:rPr>
              <w:t>Landlord’s nomination period</w:t>
            </w:r>
          </w:p>
        </w:tc>
        <w:tc>
          <w:tcPr>
            <w:tcW w:w="2149" w:type="dxa"/>
            <w:tcBorders>
              <w:bottom w:val="single" w:sz="6" w:space="0" w:color="000000"/>
              <w:right w:val="single" w:sz="6" w:space="0" w:color="000000"/>
            </w:tcBorders>
            <w:shd w:val="clear" w:color="auto" w:fill="D9D9D9"/>
          </w:tcPr>
          <w:p w14:paraId="5C6E370E" w14:textId="77777777" w:rsidR="00135311" w:rsidRDefault="00FD2E7F">
            <w:pPr>
              <w:keepLines w:val="0"/>
              <w:spacing w:before="0" w:after="0"/>
              <w:jc w:val="center"/>
            </w:pPr>
            <w:r>
              <w:rPr>
                <w:rFonts w:eastAsia="Times New Roman"/>
                <w:lang w:eastAsia="en-GB"/>
              </w:rPr>
              <w:t>8 weeks or 12 weeks</w:t>
            </w:r>
          </w:p>
        </w:tc>
        <w:tc>
          <w:tcPr>
            <w:tcW w:w="2149" w:type="dxa"/>
            <w:tcBorders>
              <w:bottom w:val="single" w:sz="6" w:space="0" w:color="000000"/>
              <w:right w:val="single" w:sz="6" w:space="0" w:color="000000"/>
            </w:tcBorders>
            <w:shd w:val="clear" w:color="auto" w:fill="D9D9D9"/>
          </w:tcPr>
          <w:p w14:paraId="0B42E89C" w14:textId="77777777" w:rsidR="00135311" w:rsidRDefault="00FD2E7F">
            <w:pPr>
              <w:keepLines w:val="0"/>
              <w:spacing w:before="0" w:after="0"/>
              <w:jc w:val="center"/>
            </w:pPr>
            <w:r>
              <w:rPr>
                <w:rFonts w:eastAsia="Times New Roman"/>
                <w:lang w:eastAsia="en-GB"/>
              </w:rPr>
              <w:t>8 weeks</w:t>
            </w:r>
          </w:p>
        </w:tc>
        <w:tc>
          <w:tcPr>
            <w:tcW w:w="2150" w:type="dxa"/>
            <w:tcBorders>
              <w:bottom w:val="single" w:sz="6" w:space="0" w:color="000000"/>
              <w:right w:val="single" w:sz="6" w:space="0" w:color="000000"/>
            </w:tcBorders>
          </w:tcPr>
          <w:p w14:paraId="20E257F4" w14:textId="77777777" w:rsidR="00135311" w:rsidRDefault="00FD2E7F">
            <w:pPr>
              <w:keepLines w:val="0"/>
              <w:spacing w:before="0" w:after="0"/>
              <w:jc w:val="center"/>
            </w:pPr>
            <w:r>
              <w:rPr>
                <w:rFonts w:eastAsia="Times New Roman"/>
                <w:lang w:eastAsia="en-GB"/>
              </w:rPr>
              <w:t>4 weeks</w:t>
            </w:r>
          </w:p>
        </w:tc>
      </w:tr>
    </w:tbl>
    <w:p w14:paraId="2489CAD6" w14:textId="77777777" w:rsidR="00135311" w:rsidRDefault="00FD2E7F">
      <w:r>
        <w:rPr>
          <w:color w:val="000000"/>
        </w:rPr>
        <w:t xml:space="preserve">The </w:t>
      </w:r>
      <w:r>
        <w:rPr>
          <w:b/>
          <w:bCs/>
          <w:color w:val="000000"/>
        </w:rPr>
        <w:t xml:space="preserve">minimum initial share </w:t>
      </w:r>
      <w:r>
        <w:rPr>
          <w:color w:val="000000"/>
        </w:rPr>
        <w:t>will vary depending on the home; discuss with the housing provider for more detail. For more information, see section 1, ‘How shared ownership works’, in the 'Key information about shared ownership' document.</w:t>
      </w:r>
    </w:p>
    <w:p w14:paraId="55372CFD" w14:textId="77777777" w:rsidR="00135311" w:rsidRDefault="00FD2E7F">
      <w:r>
        <w:t>When you are looking for shared ownership homes, you should always check the Key Information Document to see which model covers that specific home.</w:t>
      </w:r>
    </w:p>
    <w:p w14:paraId="40C5B70F" w14:textId="77777777" w:rsidR="00135311" w:rsidRDefault="00FD2E7F">
      <w:r>
        <w:t xml:space="preserve">When you buy a home through shared ownership, you </w:t>
      </w:r>
      <w:bookmarkStart w:id="0" w:name="_Int_VrJrm7Xe"/>
      <w:proofErr w:type="gramStart"/>
      <w:r>
        <w:t>enter into</w:t>
      </w:r>
      <w:bookmarkEnd w:id="0"/>
      <w:proofErr w:type="gramEnd"/>
      <w:r>
        <w:t xml:space="preserve"> a shared ownership lease. The lease is a legal agreement between you (the ‘leaseholder’) and the landlord. It sets out the rights and responsibilities of both parties. </w:t>
      </w:r>
    </w:p>
    <w:p w14:paraId="7C0C896C" w14:textId="77777777" w:rsidR="00135311" w:rsidRDefault="00FD2E7F">
      <w:r>
        <w:t>Before committing to buy a shared ownership property, you should take independent legal and financial advice.</w:t>
      </w:r>
    </w:p>
    <w:p w14:paraId="0800DF50" w14:textId="77777777" w:rsidR="00135311" w:rsidRDefault="00135311">
      <w:pPr>
        <w:rPr>
          <w:lang w:val="en-US"/>
        </w:rPr>
      </w:pPr>
    </w:p>
    <w:p w14:paraId="2483A2E8" w14:textId="77777777" w:rsidR="00135311" w:rsidRDefault="00135311">
      <w:pPr>
        <w:rPr>
          <w:lang w:val="en-US"/>
        </w:rPr>
      </w:pPr>
    </w:p>
    <w:p w14:paraId="690D6383" w14:textId="77777777" w:rsidR="00135311" w:rsidRDefault="00FD2E7F">
      <w:r>
        <w:lastRenderedPageBreak/>
        <w:t xml:space="preserve">This key information document is to help you decide if shared ownership is right for you. You should read this document carefully so that you understand what you are </w:t>
      </w:r>
      <w:proofErr w:type="gramStart"/>
      <w:r>
        <w:t>buying, and</w:t>
      </w:r>
      <w:proofErr w:type="gramEnd"/>
      <w:r>
        <w:t xml:space="preserve"> then keep it safe for future reference. This document ‘Key information about the home’ is a summary and you should consider the information in ‘Summary of costs’ and ‘Guide to shared ownership’ before </w:t>
      </w:r>
      <w:proofErr w:type="gramStart"/>
      <w:r>
        <w:t>making a decision</w:t>
      </w:r>
      <w:proofErr w:type="gramEnd"/>
      <w:r>
        <w:t xml:space="preserve">. </w:t>
      </w:r>
    </w:p>
    <w:p w14:paraId="41AF9280" w14:textId="77777777" w:rsidR="00135311" w:rsidRDefault="00FD2E7F">
      <w:pPr>
        <w:rPr>
          <w:lang w:val="en-US"/>
        </w:rPr>
      </w:pPr>
      <w:r>
        <w:t>This does not form part of the lease. You should carefully consider the information and the accompanying lease and discuss any issues with your legal adviser before signing the lease</w:t>
      </w:r>
    </w:p>
    <w:tbl>
      <w:tblPr>
        <w:tblW w:w="9414" w:type="dxa"/>
        <w:tblLayout w:type="fixed"/>
        <w:tblCellMar>
          <w:left w:w="198" w:type="dxa"/>
          <w:right w:w="198" w:type="dxa"/>
        </w:tblCellMar>
        <w:tblLook w:val="0000" w:firstRow="0" w:lastRow="0" w:firstColumn="0" w:lastColumn="0" w:noHBand="0" w:noVBand="0"/>
      </w:tblPr>
      <w:tblGrid>
        <w:gridCol w:w="9414"/>
      </w:tblGrid>
      <w:tr w:rsidR="00135311" w14:paraId="2C407E89" w14:textId="77777777">
        <w:tc>
          <w:tcPr>
            <w:tcW w:w="9414" w:type="dxa"/>
            <w:tcBorders>
              <w:top w:val="single" w:sz="24" w:space="0" w:color="000000"/>
              <w:left w:val="single" w:sz="24" w:space="0" w:color="000000"/>
              <w:bottom w:val="single" w:sz="24" w:space="0" w:color="000000"/>
              <w:right w:val="single" w:sz="24" w:space="0" w:color="000000"/>
            </w:tcBorders>
          </w:tcPr>
          <w:p w14:paraId="07940049" w14:textId="77777777" w:rsidR="00135311" w:rsidRDefault="00FD2E7F">
            <w:pPr>
              <w:rPr>
                <w:lang w:val="en-US"/>
              </w:rPr>
            </w:pPr>
            <w:r>
              <w:rPr>
                <w:lang w:val="en-US"/>
              </w:rPr>
              <w:t>Failure to pay your rent, service charge, or mortgage could mean your home is at risk of repossession.</w:t>
            </w:r>
          </w:p>
          <w:p w14:paraId="53DBA472" w14:textId="77777777" w:rsidR="00135311" w:rsidRDefault="00FD2E7F">
            <w:r>
              <w:t>The costs in this document are the costs as at the date issued. These will increase (typically on an annual basis</w:t>
            </w:r>
            <w:proofErr w:type="gramStart"/>
            <w:r>
              <w:t>)</w:t>
            </w:r>
            <w:proofErr w:type="gramEnd"/>
            <w:r>
              <w:t xml:space="preserve"> and you should take financial advice on whether this will be sustainable for you.  </w:t>
            </w:r>
          </w:p>
        </w:tc>
      </w:tr>
    </w:tbl>
    <w:p w14:paraId="41430E6F" w14:textId="77777777" w:rsidR="00135311" w:rsidRDefault="00FD2E7F">
      <w:pPr>
        <w:rPr>
          <w:b/>
          <w:bCs/>
          <w:sz w:val="28"/>
          <w:szCs w:val="28"/>
        </w:rPr>
      </w:pPr>
      <w:r>
        <w:br w:type="page"/>
      </w:r>
      <w:r>
        <w:rPr>
          <w:b/>
          <w:bCs/>
          <w:sz w:val="28"/>
          <w:szCs w:val="28"/>
        </w:rPr>
        <w:lastRenderedPageBreak/>
        <w:t>Property Details</w:t>
      </w:r>
    </w:p>
    <w:tbl>
      <w:tblPr>
        <w:tblW w:w="9465" w:type="dxa"/>
        <w:tblInd w:w="-5" w:type="dxa"/>
        <w:tblLayout w:type="fixed"/>
        <w:tblCellMar>
          <w:top w:w="108" w:type="dxa"/>
          <w:bottom w:w="108" w:type="dxa"/>
        </w:tblCellMar>
        <w:tblLook w:val="0000" w:firstRow="0" w:lastRow="0" w:firstColumn="0" w:lastColumn="0" w:noHBand="0" w:noVBand="0"/>
      </w:tblPr>
      <w:tblGrid>
        <w:gridCol w:w="2880"/>
        <w:gridCol w:w="6585"/>
      </w:tblGrid>
      <w:tr w:rsidR="00135311" w14:paraId="1B7CBD14" w14:textId="77777777">
        <w:tc>
          <w:tcPr>
            <w:tcW w:w="2880" w:type="dxa"/>
            <w:tcBorders>
              <w:top w:val="single" w:sz="4" w:space="0" w:color="000000"/>
              <w:left w:val="single" w:sz="4" w:space="0" w:color="000000"/>
              <w:bottom w:val="single" w:sz="4" w:space="0" w:color="000000"/>
              <w:right w:val="single" w:sz="4" w:space="0" w:color="000000"/>
            </w:tcBorders>
            <w:vAlign w:val="center"/>
          </w:tcPr>
          <w:p w14:paraId="448D88CC" w14:textId="77777777" w:rsidR="00135311" w:rsidRDefault="00FD2E7F">
            <w:pPr>
              <w:pStyle w:val="Normalintable"/>
              <w:rPr>
                <w:b/>
                <w:bCs/>
              </w:rPr>
            </w:pPr>
            <w:r>
              <w:rPr>
                <w:b/>
                <w:bCs/>
              </w:rPr>
              <w:t>Address</w:t>
            </w:r>
          </w:p>
        </w:tc>
        <w:tc>
          <w:tcPr>
            <w:tcW w:w="6585" w:type="dxa"/>
            <w:tcBorders>
              <w:top w:val="single" w:sz="4" w:space="0" w:color="000000"/>
              <w:left w:val="single" w:sz="4" w:space="0" w:color="000000"/>
              <w:bottom w:val="single" w:sz="4" w:space="0" w:color="000000"/>
              <w:right w:val="single" w:sz="4" w:space="0" w:color="000000"/>
            </w:tcBorders>
            <w:vAlign w:val="center"/>
          </w:tcPr>
          <w:p w14:paraId="34D99D85" w14:textId="07054CD4" w:rsidR="00135311" w:rsidRDefault="00FD2E7F" w:rsidP="00B155A3">
            <w:pPr>
              <w:keepLines w:val="0"/>
              <w:suppressAutoHyphens w:val="0"/>
              <w:spacing w:before="0" w:after="0" w:line="288" w:lineRule="atLeast"/>
              <w:textAlignment w:val="auto"/>
            </w:pPr>
            <w:r>
              <w:rPr>
                <w:rFonts w:eastAsia="Arial"/>
                <w:b/>
                <w:bCs/>
              </w:rPr>
              <w:t>Hawton Grove</w:t>
            </w:r>
            <w:r w:rsidR="00B155A3">
              <w:rPr>
                <w:rFonts w:eastAsia="Arial"/>
                <w:b/>
                <w:bCs/>
              </w:rPr>
              <w:t>, Balderton</w:t>
            </w:r>
            <w:r>
              <w:rPr>
                <w:rFonts w:eastAsia="Arial"/>
              </w:rPr>
              <w:br/>
            </w:r>
          </w:p>
        </w:tc>
      </w:tr>
      <w:tr w:rsidR="00135311" w14:paraId="33189B0B" w14:textId="77777777">
        <w:tc>
          <w:tcPr>
            <w:tcW w:w="2880" w:type="dxa"/>
            <w:tcBorders>
              <w:top w:val="single" w:sz="4" w:space="0" w:color="000000"/>
              <w:left w:val="single" w:sz="4" w:space="0" w:color="000000"/>
              <w:bottom w:val="single" w:sz="4" w:space="0" w:color="000000"/>
              <w:right w:val="single" w:sz="4" w:space="0" w:color="000000"/>
            </w:tcBorders>
            <w:vAlign w:val="center"/>
          </w:tcPr>
          <w:p w14:paraId="1B6E5FDD" w14:textId="77777777" w:rsidR="00135311" w:rsidRDefault="00FD2E7F">
            <w:pPr>
              <w:pStyle w:val="Normalintable"/>
              <w:rPr>
                <w:b/>
                <w:bCs/>
              </w:rPr>
            </w:pPr>
            <w:r>
              <w:rPr>
                <w:b/>
                <w:bCs/>
              </w:rPr>
              <w:t>Property type</w:t>
            </w:r>
          </w:p>
        </w:tc>
        <w:tc>
          <w:tcPr>
            <w:tcW w:w="6585" w:type="dxa"/>
            <w:tcBorders>
              <w:top w:val="single" w:sz="4" w:space="0" w:color="000000"/>
              <w:left w:val="single" w:sz="4" w:space="0" w:color="000000"/>
              <w:bottom w:val="single" w:sz="4" w:space="0" w:color="000000"/>
              <w:right w:val="single" w:sz="4" w:space="0" w:color="000000"/>
            </w:tcBorders>
            <w:vAlign w:val="center"/>
          </w:tcPr>
          <w:p w14:paraId="74607294" w14:textId="40E6199E" w:rsidR="00135311" w:rsidRDefault="00FD2E7F">
            <w:pPr>
              <w:pStyle w:val="Normalintable"/>
            </w:pPr>
            <w:r>
              <w:t>3 bedroom(s) - Detached house</w:t>
            </w:r>
            <w:r w:rsidR="00B155A3">
              <w:t xml:space="preserve"> - </w:t>
            </w:r>
            <w:r w:rsidR="00B155A3">
              <w:rPr>
                <w:rFonts w:eastAsia="Arial"/>
              </w:rPr>
              <w:t>The Milford</w:t>
            </w:r>
          </w:p>
        </w:tc>
      </w:tr>
      <w:tr w:rsidR="00135311" w14:paraId="7502CBC1" w14:textId="77777777">
        <w:tc>
          <w:tcPr>
            <w:tcW w:w="2880" w:type="dxa"/>
            <w:tcBorders>
              <w:top w:val="single" w:sz="4" w:space="0" w:color="000000"/>
              <w:left w:val="single" w:sz="4" w:space="0" w:color="000000"/>
              <w:bottom w:val="single" w:sz="4" w:space="0" w:color="000000"/>
              <w:right w:val="single" w:sz="4" w:space="0" w:color="000000"/>
            </w:tcBorders>
            <w:vAlign w:val="center"/>
          </w:tcPr>
          <w:p w14:paraId="5200B176" w14:textId="77777777" w:rsidR="00135311" w:rsidRDefault="00FD2E7F">
            <w:pPr>
              <w:pStyle w:val="Normalintable"/>
              <w:rPr>
                <w:b/>
                <w:bCs/>
              </w:rPr>
            </w:pPr>
            <w:r>
              <w:rPr>
                <w:b/>
                <w:bCs/>
              </w:rPr>
              <w:t>Scheme</w:t>
            </w:r>
          </w:p>
        </w:tc>
        <w:tc>
          <w:tcPr>
            <w:tcW w:w="6585" w:type="dxa"/>
            <w:tcBorders>
              <w:top w:val="single" w:sz="4" w:space="0" w:color="000000"/>
              <w:left w:val="single" w:sz="4" w:space="0" w:color="000000"/>
              <w:bottom w:val="single" w:sz="4" w:space="0" w:color="000000"/>
              <w:right w:val="single" w:sz="4" w:space="0" w:color="000000"/>
            </w:tcBorders>
            <w:vAlign w:val="center"/>
          </w:tcPr>
          <w:p w14:paraId="7FA4EC1B" w14:textId="77777777" w:rsidR="00135311" w:rsidRDefault="00FD2E7F">
            <w:pPr>
              <w:pStyle w:val="Normalintable"/>
            </w:pPr>
            <w:r>
              <w:t xml:space="preserve">Shared ownership </w:t>
            </w:r>
          </w:p>
        </w:tc>
      </w:tr>
      <w:tr w:rsidR="00135311" w14:paraId="5D276F8F" w14:textId="77777777">
        <w:tc>
          <w:tcPr>
            <w:tcW w:w="2880" w:type="dxa"/>
            <w:tcBorders>
              <w:top w:val="single" w:sz="4" w:space="0" w:color="000000"/>
              <w:left w:val="single" w:sz="4" w:space="0" w:color="000000"/>
              <w:bottom w:val="single" w:sz="4" w:space="0" w:color="000000"/>
              <w:right w:val="single" w:sz="4" w:space="0" w:color="000000"/>
            </w:tcBorders>
            <w:vAlign w:val="center"/>
          </w:tcPr>
          <w:p w14:paraId="074FA660" w14:textId="77777777" w:rsidR="00135311" w:rsidRDefault="00FD2E7F">
            <w:pPr>
              <w:pStyle w:val="Normalintable"/>
              <w:rPr>
                <w:b/>
                <w:bCs/>
              </w:rPr>
            </w:pPr>
            <w:r>
              <w:rPr>
                <w:b/>
                <w:bCs/>
              </w:rPr>
              <w:t>Full market value</w:t>
            </w:r>
          </w:p>
        </w:tc>
        <w:tc>
          <w:tcPr>
            <w:tcW w:w="6585" w:type="dxa"/>
            <w:tcBorders>
              <w:top w:val="single" w:sz="4" w:space="0" w:color="000000"/>
              <w:left w:val="single" w:sz="4" w:space="0" w:color="000000"/>
              <w:bottom w:val="single" w:sz="4" w:space="0" w:color="000000"/>
              <w:right w:val="single" w:sz="4" w:space="0" w:color="000000"/>
            </w:tcBorders>
            <w:vAlign w:val="center"/>
          </w:tcPr>
          <w:p w14:paraId="15AE5CB6" w14:textId="77777777" w:rsidR="00135311" w:rsidRDefault="00FD2E7F">
            <w:pPr>
              <w:pStyle w:val="Normalintable"/>
            </w:pPr>
            <w:r>
              <w:t>£305,000</w:t>
            </w:r>
          </w:p>
        </w:tc>
      </w:tr>
      <w:tr w:rsidR="00135311" w14:paraId="7C3ED119" w14:textId="77777777">
        <w:tc>
          <w:tcPr>
            <w:tcW w:w="2880" w:type="dxa"/>
            <w:tcBorders>
              <w:top w:val="single" w:sz="4" w:space="0" w:color="000000"/>
              <w:left w:val="single" w:sz="4" w:space="0" w:color="000000"/>
              <w:bottom w:val="single" w:sz="4" w:space="0" w:color="000000"/>
              <w:right w:val="single" w:sz="4" w:space="0" w:color="000000"/>
            </w:tcBorders>
          </w:tcPr>
          <w:p w14:paraId="4CEF98B1" w14:textId="77777777" w:rsidR="00135311" w:rsidRDefault="00FD2E7F">
            <w:pPr>
              <w:pStyle w:val="Normalintable"/>
              <w:rPr>
                <w:b/>
                <w:bCs/>
              </w:rPr>
            </w:pPr>
            <w:r>
              <w:rPr>
                <w:b/>
                <w:bCs/>
              </w:rPr>
              <w:t>Share Purchase Price and Rent Examples</w:t>
            </w:r>
          </w:p>
        </w:tc>
        <w:tc>
          <w:tcPr>
            <w:tcW w:w="6585" w:type="dxa"/>
            <w:tcBorders>
              <w:top w:val="single" w:sz="4" w:space="0" w:color="000000"/>
              <w:left w:val="single" w:sz="4" w:space="0" w:color="000000"/>
              <w:bottom w:val="single" w:sz="4" w:space="0" w:color="000000"/>
              <w:right w:val="single" w:sz="4" w:space="0" w:color="000000"/>
            </w:tcBorders>
          </w:tcPr>
          <w:p w14:paraId="1EC18CAE" w14:textId="77777777" w:rsidR="00135311" w:rsidRDefault="00FD2E7F">
            <w:pPr>
              <w:keepLines w:val="0"/>
              <w:suppressAutoHyphens w:val="0"/>
              <w:spacing w:before="0" w:line="288" w:lineRule="atLeast"/>
              <w:textAlignment w:val="auto"/>
              <w:rPr>
                <w:rFonts w:eastAsia="Arial"/>
              </w:rPr>
            </w:pPr>
            <w:r>
              <w:rPr>
                <w:rFonts w:eastAsia="Arial"/>
              </w:rPr>
              <w:t>The share purchase price is calculated using the full market value and the percentage share purchased.</w:t>
            </w:r>
          </w:p>
          <w:p w14:paraId="023EA28A" w14:textId="77777777" w:rsidR="00135311" w:rsidRDefault="00FD2E7F">
            <w:pPr>
              <w:keepLines w:val="0"/>
              <w:suppressAutoHyphens w:val="0"/>
              <w:spacing w:line="288" w:lineRule="atLeast"/>
              <w:textAlignment w:val="auto"/>
              <w:rPr>
                <w:rFonts w:eastAsia="Arial"/>
              </w:rPr>
            </w:pPr>
            <w:r>
              <w:rPr>
                <w:rFonts w:eastAsia="Arial"/>
              </w:rPr>
              <w:t>If you buy a 10% share, the share purchase price will be £30,500 and the rent will be £629.06 a month.</w:t>
            </w:r>
          </w:p>
          <w:p w14:paraId="37EE4BDE" w14:textId="77777777" w:rsidR="00135311" w:rsidRDefault="00FD2E7F">
            <w:pPr>
              <w:keepLines w:val="0"/>
              <w:suppressAutoHyphens w:val="0"/>
              <w:spacing w:after="225" w:line="288" w:lineRule="atLeast"/>
              <w:textAlignment w:val="auto"/>
              <w:rPr>
                <w:rFonts w:eastAsia="Arial"/>
              </w:rPr>
            </w:pPr>
            <w:r>
              <w:rPr>
                <w:rFonts w:eastAsia="Arial"/>
              </w:rPr>
              <w:t>If you buy a larger share, you'll pay less rent. The table below shows further examples:</w:t>
            </w:r>
          </w:p>
          <w:tbl>
            <w:tblPr>
              <w:tblW w:w="5000" w:type="pct"/>
              <w:tblLayout w:type="fixed"/>
              <w:tblCellMar>
                <w:top w:w="60" w:type="dxa"/>
                <w:left w:w="68" w:type="dxa"/>
                <w:bottom w:w="60" w:type="dxa"/>
                <w:right w:w="68" w:type="dxa"/>
              </w:tblCellMar>
              <w:tblLook w:val="04A0" w:firstRow="1" w:lastRow="0" w:firstColumn="1" w:lastColumn="0" w:noHBand="0" w:noVBand="1"/>
            </w:tblPr>
            <w:tblGrid>
              <w:gridCol w:w="1043"/>
              <w:gridCol w:w="3299"/>
              <w:gridCol w:w="2011"/>
            </w:tblGrid>
            <w:tr w:rsidR="00135311" w14:paraId="62164890" w14:textId="77777777">
              <w:tc>
                <w:tcPr>
                  <w:tcW w:w="1045"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4BE16548" w14:textId="77777777" w:rsidR="00135311" w:rsidRDefault="00FD2E7F">
                  <w:pPr>
                    <w:keepLines w:val="0"/>
                    <w:suppressAutoHyphens w:val="0"/>
                    <w:spacing w:before="0" w:after="0"/>
                    <w:textAlignment w:val="auto"/>
                    <w:rPr>
                      <w:rFonts w:eastAsia="Arial"/>
                      <w:b/>
                      <w:bCs/>
                      <w:color w:val="000000"/>
                    </w:rPr>
                  </w:pPr>
                  <w:r>
                    <w:rPr>
                      <w:rFonts w:eastAsia="Arial"/>
                      <w:b/>
                      <w:bCs/>
                      <w:color w:val="000000"/>
                    </w:rPr>
                    <w:t>Share</w:t>
                  </w:r>
                </w:p>
              </w:tc>
              <w:tc>
                <w:tcPr>
                  <w:tcW w:w="3308"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20F75FA3" w14:textId="77777777" w:rsidR="00135311" w:rsidRDefault="00FD2E7F">
                  <w:pPr>
                    <w:keepLines w:val="0"/>
                    <w:suppressAutoHyphens w:val="0"/>
                    <w:spacing w:before="0" w:after="0"/>
                    <w:textAlignment w:val="auto"/>
                    <w:rPr>
                      <w:rFonts w:eastAsia="Arial"/>
                      <w:b/>
                      <w:bCs/>
                      <w:color w:val="000000"/>
                    </w:rPr>
                  </w:pPr>
                  <w:r>
                    <w:rPr>
                      <w:rFonts w:eastAsia="Arial"/>
                      <w:b/>
                      <w:bCs/>
                      <w:color w:val="000000"/>
                    </w:rPr>
                    <w:t>Share Purchase Price</w:t>
                  </w:r>
                </w:p>
              </w:tc>
              <w:tc>
                <w:tcPr>
                  <w:tcW w:w="2016"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4D1CB9F2" w14:textId="77777777" w:rsidR="00135311" w:rsidRDefault="00FD2E7F">
                  <w:pPr>
                    <w:keepLines w:val="0"/>
                    <w:suppressAutoHyphens w:val="0"/>
                    <w:spacing w:before="0" w:after="0"/>
                    <w:textAlignment w:val="auto"/>
                    <w:rPr>
                      <w:rFonts w:eastAsia="Arial"/>
                      <w:b/>
                      <w:bCs/>
                      <w:color w:val="000000"/>
                    </w:rPr>
                  </w:pPr>
                  <w:r>
                    <w:rPr>
                      <w:rFonts w:eastAsia="Arial"/>
                      <w:b/>
                      <w:bCs/>
                      <w:color w:val="000000"/>
                    </w:rPr>
                    <w:t>Monthly rent</w:t>
                  </w:r>
                </w:p>
              </w:tc>
            </w:tr>
            <w:tr w:rsidR="00135311" w14:paraId="7B071B14" w14:textId="77777777">
              <w:tc>
                <w:tcPr>
                  <w:tcW w:w="1045" w:type="dxa"/>
                  <w:tcBorders>
                    <w:top w:val="single" w:sz="6" w:space="0" w:color="000000"/>
                    <w:left w:val="single" w:sz="6" w:space="0" w:color="000000"/>
                    <w:bottom w:val="single" w:sz="6" w:space="0" w:color="000000"/>
                    <w:right w:val="single" w:sz="6" w:space="0" w:color="000000"/>
                  </w:tcBorders>
                  <w:vAlign w:val="center"/>
                </w:tcPr>
                <w:p w14:paraId="0BEA9960" w14:textId="77777777" w:rsidR="00135311" w:rsidRDefault="00FD2E7F">
                  <w:pPr>
                    <w:keepLines w:val="0"/>
                    <w:suppressAutoHyphens w:val="0"/>
                    <w:spacing w:before="0" w:after="0"/>
                    <w:textAlignment w:val="auto"/>
                    <w:rPr>
                      <w:rFonts w:eastAsia="Arial"/>
                      <w:color w:val="000000"/>
                    </w:rPr>
                  </w:pPr>
                  <w:r>
                    <w:rPr>
                      <w:rFonts w:eastAsia="Arial"/>
                      <w:color w:val="000000"/>
                    </w:rPr>
                    <w:t>10%</w:t>
                  </w:r>
                </w:p>
              </w:tc>
              <w:tc>
                <w:tcPr>
                  <w:tcW w:w="3308" w:type="dxa"/>
                  <w:tcBorders>
                    <w:top w:val="single" w:sz="6" w:space="0" w:color="000000"/>
                    <w:left w:val="single" w:sz="6" w:space="0" w:color="000000"/>
                    <w:bottom w:val="single" w:sz="6" w:space="0" w:color="000000"/>
                    <w:right w:val="single" w:sz="6" w:space="0" w:color="000000"/>
                  </w:tcBorders>
                  <w:vAlign w:val="center"/>
                </w:tcPr>
                <w:p w14:paraId="420AC247" w14:textId="77777777" w:rsidR="00135311" w:rsidRDefault="00FD2E7F">
                  <w:pPr>
                    <w:keepLines w:val="0"/>
                    <w:suppressAutoHyphens w:val="0"/>
                    <w:spacing w:before="0" w:after="0"/>
                    <w:textAlignment w:val="auto"/>
                    <w:rPr>
                      <w:rFonts w:eastAsia="Arial"/>
                      <w:color w:val="000000"/>
                    </w:rPr>
                  </w:pPr>
                  <w:r>
                    <w:rPr>
                      <w:rFonts w:eastAsia="Arial"/>
                      <w:color w:val="000000"/>
                    </w:rPr>
                    <w:t>£30,500</w:t>
                  </w:r>
                </w:p>
              </w:tc>
              <w:tc>
                <w:tcPr>
                  <w:tcW w:w="2016" w:type="dxa"/>
                  <w:tcBorders>
                    <w:top w:val="single" w:sz="6" w:space="0" w:color="000000"/>
                    <w:left w:val="single" w:sz="6" w:space="0" w:color="000000"/>
                    <w:bottom w:val="single" w:sz="6" w:space="0" w:color="000000"/>
                    <w:right w:val="single" w:sz="6" w:space="0" w:color="000000"/>
                  </w:tcBorders>
                  <w:vAlign w:val="center"/>
                </w:tcPr>
                <w:p w14:paraId="31CC05CB" w14:textId="77777777" w:rsidR="00135311" w:rsidRDefault="00FD2E7F">
                  <w:pPr>
                    <w:keepLines w:val="0"/>
                    <w:suppressAutoHyphens w:val="0"/>
                    <w:spacing w:before="0" w:after="0"/>
                    <w:textAlignment w:val="auto"/>
                    <w:rPr>
                      <w:rFonts w:eastAsia="Arial"/>
                      <w:color w:val="000000"/>
                    </w:rPr>
                  </w:pPr>
                  <w:r>
                    <w:rPr>
                      <w:rFonts w:eastAsia="Arial"/>
                      <w:color w:val="000000"/>
                    </w:rPr>
                    <w:t>£629.06</w:t>
                  </w:r>
                </w:p>
              </w:tc>
            </w:tr>
            <w:tr w:rsidR="00135311" w14:paraId="03336715" w14:textId="77777777">
              <w:tc>
                <w:tcPr>
                  <w:tcW w:w="1045" w:type="dxa"/>
                  <w:tcBorders>
                    <w:top w:val="single" w:sz="6" w:space="0" w:color="000000"/>
                    <w:left w:val="single" w:sz="6" w:space="0" w:color="000000"/>
                    <w:bottom w:val="single" w:sz="6" w:space="0" w:color="000000"/>
                    <w:right w:val="single" w:sz="6" w:space="0" w:color="000000"/>
                  </w:tcBorders>
                  <w:vAlign w:val="center"/>
                </w:tcPr>
                <w:p w14:paraId="5AA6C267" w14:textId="77777777" w:rsidR="00135311" w:rsidRDefault="00FD2E7F">
                  <w:pPr>
                    <w:keepLines w:val="0"/>
                    <w:suppressAutoHyphens w:val="0"/>
                    <w:spacing w:before="0" w:after="0"/>
                    <w:textAlignment w:val="auto"/>
                    <w:rPr>
                      <w:rFonts w:eastAsia="Arial"/>
                      <w:color w:val="000000"/>
                    </w:rPr>
                  </w:pPr>
                  <w:r>
                    <w:rPr>
                      <w:rFonts w:eastAsia="Arial"/>
                      <w:color w:val="000000"/>
                    </w:rPr>
                    <w:t>25%</w:t>
                  </w:r>
                </w:p>
              </w:tc>
              <w:tc>
                <w:tcPr>
                  <w:tcW w:w="3308" w:type="dxa"/>
                  <w:tcBorders>
                    <w:top w:val="single" w:sz="6" w:space="0" w:color="000000"/>
                    <w:left w:val="single" w:sz="6" w:space="0" w:color="000000"/>
                    <w:bottom w:val="single" w:sz="6" w:space="0" w:color="000000"/>
                    <w:right w:val="single" w:sz="6" w:space="0" w:color="000000"/>
                  </w:tcBorders>
                  <w:vAlign w:val="center"/>
                </w:tcPr>
                <w:p w14:paraId="4A7CD83D" w14:textId="77777777" w:rsidR="00135311" w:rsidRDefault="00FD2E7F">
                  <w:pPr>
                    <w:keepLines w:val="0"/>
                    <w:suppressAutoHyphens w:val="0"/>
                    <w:spacing w:before="0" w:after="0"/>
                    <w:textAlignment w:val="auto"/>
                    <w:rPr>
                      <w:rFonts w:eastAsia="Arial"/>
                      <w:color w:val="000000"/>
                    </w:rPr>
                  </w:pPr>
                  <w:r>
                    <w:rPr>
                      <w:rFonts w:eastAsia="Arial"/>
                      <w:color w:val="000000"/>
                    </w:rPr>
                    <w:t>£76,250</w:t>
                  </w:r>
                </w:p>
              </w:tc>
              <w:tc>
                <w:tcPr>
                  <w:tcW w:w="2016" w:type="dxa"/>
                  <w:tcBorders>
                    <w:top w:val="single" w:sz="6" w:space="0" w:color="000000"/>
                    <w:left w:val="single" w:sz="6" w:space="0" w:color="000000"/>
                    <w:bottom w:val="single" w:sz="6" w:space="0" w:color="000000"/>
                    <w:right w:val="single" w:sz="6" w:space="0" w:color="000000"/>
                  </w:tcBorders>
                  <w:vAlign w:val="center"/>
                </w:tcPr>
                <w:p w14:paraId="32806870" w14:textId="77777777" w:rsidR="00135311" w:rsidRDefault="00FD2E7F">
                  <w:pPr>
                    <w:keepLines w:val="0"/>
                    <w:suppressAutoHyphens w:val="0"/>
                    <w:spacing w:before="0" w:after="0"/>
                    <w:textAlignment w:val="auto"/>
                    <w:rPr>
                      <w:rFonts w:eastAsia="Arial"/>
                      <w:color w:val="000000"/>
                    </w:rPr>
                  </w:pPr>
                  <w:r>
                    <w:rPr>
                      <w:rFonts w:eastAsia="Arial"/>
                      <w:color w:val="000000"/>
                    </w:rPr>
                    <w:t>£524.22</w:t>
                  </w:r>
                </w:p>
              </w:tc>
            </w:tr>
            <w:tr w:rsidR="00135311" w14:paraId="7C165D3C" w14:textId="77777777">
              <w:tc>
                <w:tcPr>
                  <w:tcW w:w="1045" w:type="dxa"/>
                  <w:tcBorders>
                    <w:top w:val="single" w:sz="6" w:space="0" w:color="000000"/>
                    <w:left w:val="single" w:sz="6" w:space="0" w:color="000000"/>
                    <w:bottom w:val="single" w:sz="6" w:space="0" w:color="000000"/>
                    <w:right w:val="single" w:sz="6" w:space="0" w:color="000000"/>
                  </w:tcBorders>
                  <w:vAlign w:val="center"/>
                </w:tcPr>
                <w:p w14:paraId="660654A9" w14:textId="77777777" w:rsidR="00135311" w:rsidRDefault="00FD2E7F">
                  <w:pPr>
                    <w:keepLines w:val="0"/>
                    <w:suppressAutoHyphens w:val="0"/>
                    <w:spacing w:before="0" w:after="0"/>
                    <w:textAlignment w:val="auto"/>
                    <w:rPr>
                      <w:rFonts w:eastAsia="Arial"/>
                      <w:color w:val="000000"/>
                    </w:rPr>
                  </w:pPr>
                  <w:r>
                    <w:rPr>
                      <w:rFonts w:eastAsia="Arial"/>
                      <w:color w:val="000000"/>
                    </w:rPr>
                    <w:t>30%</w:t>
                  </w:r>
                </w:p>
              </w:tc>
              <w:tc>
                <w:tcPr>
                  <w:tcW w:w="3308" w:type="dxa"/>
                  <w:tcBorders>
                    <w:top w:val="single" w:sz="6" w:space="0" w:color="000000"/>
                    <w:left w:val="single" w:sz="6" w:space="0" w:color="000000"/>
                    <w:bottom w:val="single" w:sz="6" w:space="0" w:color="000000"/>
                    <w:right w:val="single" w:sz="6" w:space="0" w:color="000000"/>
                  </w:tcBorders>
                  <w:vAlign w:val="center"/>
                </w:tcPr>
                <w:p w14:paraId="1BEAD4E7" w14:textId="77777777" w:rsidR="00135311" w:rsidRDefault="00FD2E7F">
                  <w:pPr>
                    <w:keepLines w:val="0"/>
                    <w:suppressAutoHyphens w:val="0"/>
                    <w:spacing w:before="0" w:after="0"/>
                    <w:textAlignment w:val="auto"/>
                    <w:rPr>
                      <w:rFonts w:eastAsia="Arial"/>
                      <w:color w:val="000000"/>
                    </w:rPr>
                  </w:pPr>
                  <w:r>
                    <w:rPr>
                      <w:rFonts w:eastAsia="Arial"/>
                      <w:color w:val="000000"/>
                    </w:rPr>
                    <w:t>£91,500</w:t>
                  </w:r>
                </w:p>
              </w:tc>
              <w:tc>
                <w:tcPr>
                  <w:tcW w:w="2016" w:type="dxa"/>
                  <w:tcBorders>
                    <w:top w:val="single" w:sz="6" w:space="0" w:color="000000"/>
                    <w:left w:val="single" w:sz="6" w:space="0" w:color="000000"/>
                    <w:bottom w:val="single" w:sz="6" w:space="0" w:color="000000"/>
                    <w:right w:val="single" w:sz="6" w:space="0" w:color="000000"/>
                  </w:tcBorders>
                  <w:vAlign w:val="center"/>
                </w:tcPr>
                <w:p w14:paraId="1AF675EA" w14:textId="77777777" w:rsidR="00135311" w:rsidRDefault="00FD2E7F">
                  <w:pPr>
                    <w:keepLines w:val="0"/>
                    <w:suppressAutoHyphens w:val="0"/>
                    <w:spacing w:before="0" w:after="0"/>
                    <w:textAlignment w:val="auto"/>
                    <w:rPr>
                      <w:rFonts w:eastAsia="Arial"/>
                      <w:color w:val="000000"/>
                    </w:rPr>
                  </w:pPr>
                  <w:r>
                    <w:rPr>
                      <w:rFonts w:eastAsia="Arial"/>
                      <w:color w:val="000000"/>
                    </w:rPr>
                    <w:t>£489.27</w:t>
                  </w:r>
                </w:p>
              </w:tc>
            </w:tr>
            <w:tr w:rsidR="00135311" w14:paraId="1569124B" w14:textId="77777777">
              <w:tc>
                <w:tcPr>
                  <w:tcW w:w="1045" w:type="dxa"/>
                  <w:tcBorders>
                    <w:top w:val="single" w:sz="6" w:space="0" w:color="000000"/>
                    <w:left w:val="single" w:sz="6" w:space="0" w:color="000000"/>
                    <w:bottom w:val="single" w:sz="6" w:space="0" w:color="000000"/>
                    <w:right w:val="single" w:sz="6" w:space="0" w:color="000000"/>
                  </w:tcBorders>
                  <w:vAlign w:val="center"/>
                </w:tcPr>
                <w:p w14:paraId="0103AEBA" w14:textId="77777777" w:rsidR="00135311" w:rsidRDefault="00FD2E7F">
                  <w:pPr>
                    <w:keepLines w:val="0"/>
                    <w:suppressAutoHyphens w:val="0"/>
                    <w:spacing w:before="0" w:after="0"/>
                    <w:textAlignment w:val="auto"/>
                    <w:rPr>
                      <w:rFonts w:eastAsia="Arial"/>
                      <w:color w:val="000000"/>
                    </w:rPr>
                  </w:pPr>
                  <w:r>
                    <w:rPr>
                      <w:rFonts w:eastAsia="Arial"/>
                      <w:color w:val="000000"/>
                    </w:rPr>
                    <w:t>40%</w:t>
                  </w:r>
                </w:p>
              </w:tc>
              <w:tc>
                <w:tcPr>
                  <w:tcW w:w="3308" w:type="dxa"/>
                  <w:tcBorders>
                    <w:top w:val="single" w:sz="6" w:space="0" w:color="000000"/>
                    <w:left w:val="single" w:sz="6" w:space="0" w:color="000000"/>
                    <w:bottom w:val="single" w:sz="6" w:space="0" w:color="000000"/>
                    <w:right w:val="single" w:sz="6" w:space="0" w:color="000000"/>
                  </w:tcBorders>
                  <w:vAlign w:val="center"/>
                </w:tcPr>
                <w:p w14:paraId="0552C6A7" w14:textId="77777777" w:rsidR="00135311" w:rsidRDefault="00FD2E7F">
                  <w:pPr>
                    <w:keepLines w:val="0"/>
                    <w:suppressAutoHyphens w:val="0"/>
                    <w:spacing w:before="0" w:after="0"/>
                    <w:textAlignment w:val="auto"/>
                    <w:rPr>
                      <w:rFonts w:eastAsia="Arial"/>
                      <w:color w:val="000000"/>
                    </w:rPr>
                  </w:pPr>
                  <w:r>
                    <w:rPr>
                      <w:rFonts w:eastAsia="Arial"/>
                      <w:color w:val="000000"/>
                    </w:rPr>
                    <w:t>£122,000</w:t>
                  </w:r>
                </w:p>
              </w:tc>
              <w:tc>
                <w:tcPr>
                  <w:tcW w:w="2016" w:type="dxa"/>
                  <w:tcBorders>
                    <w:top w:val="single" w:sz="6" w:space="0" w:color="000000"/>
                    <w:left w:val="single" w:sz="6" w:space="0" w:color="000000"/>
                    <w:bottom w:val="single" w:sz="6" w:space="0" w:color="000000"/>
                    <w:right w:val="single" w:sz="6" w:space="0" w:color="000000"/>
                  </w:tcBorders>
                  <w:vAlign w:val="center"/>
                </w:tcPr>
                <w:p w14:paraId="539BA72C" w14:textId="77777777" w:rsidR="00135311" w:rsidRDefault="00FD2E7F">
                  <w:pPr>
                    <w:keepLines w:val="0"/>
                    <w:suppressAutoHyphens w:val="0"/>
                    <w:spacing w:before="0" w:after="0"/>
                    <w:textAlignment w:val="auto"/>
                    <w:rPr>
                      <w:rFonts w:eastAsia="Arial"/>
                      <w:color w:val="000000"/>
                    </w:rPr>
                  </w:pPr>
                  <w:r>
                    <w:rPr>
                      <w:rFonts w:eastAsia="Arial"/>
                      <w:color w:val="000000"/>
                    </w:rPr>
                    <w:t>£419.38</w:t>
                  </w:r>
                </w:p>
              </w:tc>
            </w:tr>
            <w:tr w:rsidR="00135311" w14:paraId="66F83416" w14:textId="77777777">
              <w:tc>
                <w:tcPr>
                  <w:tcW w:w="1045" w:type="dxa"/>
                  <w:tcBorders>
                    <w:top w:val="single" w:sz="6" w:space="0" w:color="000000"/>
                    <w:left w:val="single" w:sz="6" w:space="0" w:color="000000"/>
                    <w:bottom w:val="single" w:sz="6" w:space="0" w:color="000000"/>
                    <w:right w:val="single" w:sz="6" w:space="0" w:color="000000"/>
                  </w:tcBorders>
                  <w:vAlign w:val="center"/>
                </w:tcPr>
                <w:p w14:paraId="7AEF9086" w14:textId="77777777" w:rsidR="00135311" w:rsidRDefault="00FD2E7F">
                  <w:pPr>
                    <w:keepLines w:val="0"/>
                    <w:suppressAutoHyphens w:val="0"/>
                    <w:spacing w:before="0" w:after="0"/>
                    <w:textAlignment w:val="auto"/>
                    <w:rPr>
                      <w:rFonts w:eastAsia="Arial"/>
                      <w:color w:val="000000"/>
                    </w:rPr>
                  </w:pPr>
                  <w:r>
                    <w:rPr>
                      <w:rFonts w:eastAsia="Arial"/>
                      <w:color w:val="000000"/>
                    </w:rPr>
                    <w:t>50%</w:t>
                  </w:r>
                </w:p>
              </w:tc>
              <w:tc>
                <w:tcPr>
                  <w:tcW w:w="3308" w:type="dxa"/>
                  <w:tcBorders>
                    <w:top w:val="single" w:sz="6" w:space="0" w:color="000000"/>
                    <w:left w:val="single" w:sz="6" w:space="0" w:color="000000"/>
                    <w:bottom w:val="single" w:sz="6" w:space="0" w:color="000000"/>
                    <w:right w:val="single" w:sz="6" w:space="0" w:color="000000"/>
                  </w:tcBorders>
                  <w:vAlign w:val="center"/>
                </w:tcPr>
                <w:p w14:paraId="5388573F" w14:textId="77777777" w:rsidR="00135311" w:rsidRDefault="00FD2E7F">
                  <w:pPr>
                    <w:keepLines w:val="0"/>
                    <w:suppressAutoHyphens w:val="0"/>
                    <w:spacing w:before="0" w:after="0"/>
                    <w:textAlignment w:val="auto"/>
                    <w:rPr>
                      <w:rFonts w:eastAsia="Arial"/>
                      <w:color w:val="000000"/>
                    </w:rPr>
                  </w:pPr>
                  <w:r>
                    <w:rPr>
                      <w:rFonts w:eastAsia="Arial"/>
                      <w:color w:val="000000"/>
                    </w:rPr>
                    <w:t>£152,500</w:t>
                  </w:r>
                </w:p>
              </w:tc>
              <w:tc>
                <w:tcPr>
                  <w:tcW w:w="2016" w:type="dxa"/>
                  <w:tcBorders>
                    <w:top w:val="single" w:sz="6" w:space="0" w:color="000000"/>
                    <w:left w:val="single" w:sz="6" w:space="0" w:color="000000"/>
                    <w:bottom w:val="single" w:sz="6" w:space="0" w:color="000000"/>
                    <w:right w:val="single" w:sz="6" w:space="0" w:color="000000"/>
                  </w:tcBorders>
                  <w:vAlign w:val="center"/>
                </w:tcPr>
                <w:p w14:paraId="3087DB63" w14:textId="77777777" w:rsidR="00135311" w:rsidRDefault="00FD2E7F">
                  <w:pPr>
                    <w:keepLines w:val="0"/>
                    <w:suppressAutoHyphens w:val="0"/>
                    <w:spacing w:before="0" w:after="0"/>
                    <w:textAlignment w:val="auto"/>
                    <w:rPr>
                      <w:rFonts w:eastAsia="Arial"/>
                      <w:color w:val="000000"/>
                    </w:rPr>
                  </w:pPr>
                  <w:r>
                    <w:rPr>
                      <w:rFonts w:eastAsia="Arial"/>
                      <w:color w:val="000000"/>
                    </w:rPr>
                    <w:t>£349.48</w:t>
                  </w:r>
                </w:p>
              </w:tc>
            </w:tr>
            <w:tr w:rsidR="00135311" w14:paraId="6F2C291C" w14:textId="77777777">
              <w:tc>
                <w:tcPr>
                  <w:tcW w:w="1045" w:type="dxa"/>
                  <w:tcBorders>
                    <w:top w:val="single" w:sz="6" w:space="0" w:color="000000"/>
                    <w:left w:val="single" w:sz="6" w:space="0" w:color="000000"/>
                    <w:bottom w:val="single" w:sz="6" w:space="0" w:color="000000"/>
                    <w:right w:val="single" w:sz="6" w:space="0" w:color="000000"/>
                  </w:tcBorders>
                  <w:vAlign w:val="center"/>
                </w:tcPr>
                <w:p w14:paraId="5AF32900" w14:textId="77777777" w:rsidR="00135311" w:rsidRDefault="00FD2E7F">
                  <w:pPr>
                    <w:keepLines w:val="0"/>
                    <w:suppressAutoHyphens w:val="0"/>
                    <w:spacing w:before="0" w:after="0"/>
                    <w:textAlignment w:val="auto"/>
                    <w:rPr>
                      <w:rFonts w:eastAsia="Arial"/>
                      <w:color w:val="000000"/>
                    </w:rPr>
                  </w:pPr>
                  <w:r>
                    <w:rPr>
                      <w:rFonts w:eastAsia="Arial"/>
                      <w:color w:val="000000"/>
                    </w:rPr>
                    <w:t>60%</w:t>
                  </w:r>
                </w:p>
              </w:tc>
              <w:tc>
                <w:tcPr>
                  <w:tcW w:w="3308" w:type="dxa"/>
                  <w:tcBorders>
                    <w:top w:val="single" w:sz="6" w:space="0" w:color="000000"/>
                    <w:left w:val="single" w:sz="6" w:space="0" w:color="000000"/>
                    <w:bottom w:val="single" w:sz="6" w:space="0" w:color="000000"/>
                    <w:right w:val="single" w:sz="6" w:space="0" w:color="000000"/>
                  </w:tcBorders>
                  <w:vAlign w:val="center"/>
                </w:tcPr>
                <w:p w14:paraId="3D78CC40" w14:textId="77777777" w:rsidR="00135311" w:rsidRDefault="00FD2E7F">
                  <w:pPr>
                    <w:keepLines w:val="0"/>
                    <w:suppressAutoHyphens w:val="0"/>
                    <w:spacing w:before="0" w:after="0"/>
                    <w:textAlignment w:val="auto"/>
                    <w:rPr>
                      <w:rFonts w:eastAsia="Arial"/>
                      <w:color w:val="000000"/>
                    </w:rPr>
                  </w:pPr>
                  <w:r>
                    <w:rPr>
                      <w:rFonts w:eastAsia="Arial"/>
                      <w:color w:val="000000"/>
                    </w:rPr>
                    <w:t>£183,000</w:t>
                  </w:r>
                </w:p>
              </w:tc>
              <w:tc>
                <w:tcPr>
                  <w:tcW w:w="2016" w:type="dxa"/>
                  <w:tcBorders>
                    <w:top w:val="single" w:sz="6" w:space="0" w:color="000000"/>
                    <w:left w:val="single" w:sz="6" w:space="0" w:color="000000"/>
                    <w:bottom w:val="single" w:sz="6" w:space="0" w:color="000000"/>
                    <w:right w:val="single" w:sz="6" w:space="0" w:color="000000"/>
                  </w:tcBorders>
                  <w:vAlign w:val="center"/>
                </w:tcPr>
                <w:p w14:paraId="5E4098A0" w14:textId="77777777" w:rsidR="00135311" w:rsidRDefault="00FD2E7F">
                  <w:pPr>
                    <w:keepLines w:val="0"/>
                    <w:suppressAutoHyphens w:val="0"/>
                    <w:spacing w:before="0" w:after="0"/>
                    <w:textAlignment w:val="auto"/>
                    <w:rPr>
                      <w:rFonts w:eastAsia="Arial"/>
                      <w:color w:val="000000"/>
                    </w:rPr>
                  </w:pPr>
                  <w:r>
                    <w:rPr>
                      <w:rFonts w:eastAsia="Arial"/>
                      <w:color w:val="000000"/>
                    </w:rPr>
                    <w:t>£279.58</w:t>
                  </w:r>
                </w:p>
              </w:tc>
            </w:tr>
            <w:tr w:rsidR="00135311" w14:paraId="3F2820EE" w14:textId="77777777">
              <w:tc>
                <w:tcPr>
                  <w:tcW w:w="1045" w:type="dxa"/>
                  <w:tcBorders>
                    <w:top w:val="single" w:sz="6" w:space="0" w:color="000000"/>
                    <w:left w:val="single" w:sz="6" w:space="0" w:color="000000"/>
                    <w:bottom w:val="single" w:sz="6" w:space="0" w:color="000000"/>
                    <w:right w:val="single" w:sz="6" w:space="0" w:color="000000"/>
                  </w:tcBorders>
                  <w:vAlign w:val="center"/>
                </w:tcPr>
                <w:p w14:paraId="0C320219" w14:textId="77777777" w:rsidR="00135311" w:rsidRDefault="00FD2E7F">
                  <w:pPr>
                    <w:keepLines w:val="0"/>
                    <w:suppressAutoHyphens w:val="0"/>
                    <w:spacing w:before="0" w:after="0"/>
                    <w:textAlignment w:val="auto"/>
                    <w:rPr>
                      <w:rFonts w:eastAsia="Arial"/>
                      <w:color w:val="000000"/>
                    </w:rPr>
                  </w:pPr>
                  <w:r>
                    <w:rPr>
                      <w:rFonts w:eastAsia="Arial"/>
                      <w:color w:val="000000"/>
                    </w:rPr>
                    <w:t>70%</w:t>
                  </w:r>
                </w:p>
              </w:tc>
              <w:tc>
                <w:tcPr>
                  <w:tcW w:w="3308" w:type="dxa"/>
                  <w:tcBorders>
                    <w:top w:val="single" w:sz="6" w:space="0" w:color="000000"/>
                    <w:left w:val="single" w:sz="6" w:space="0" w:color="000000"/>
                    <w:bottom w:val="single" w:sz="6" w:space="0" w:color="000000"/>
                    <w:right w:val="single" w:sz="6" w:space="0" w:color="000000"/>
                  </w:tcBorders>
                  <w:vAlign w:val="center"/>
                </w:tcPr>
                <w:p w14:paraId="75873459" w14:textId="77777777" w:rsidR="00135311" w:rsidRDefault="00FD2E7F">
                  <w:pPr>
                    <w:keepLines w:val="0"/>
                    <w:suppressAutoHyphens w:val="0"/>
                    <w:spacing w:before="0" w:after="0"/>
                    <w:textAlignment w:val="auto"/>
                    <w:rPr>
                      <w:rFonts w:eastAsia="Arial"/>
                      <w:color w:val="000000"/>
                    </w:rPr>
                  </w:pPr>
                  <w:r>
                    <w:rPr>
                      <w:rFonts w:eastAsia="Arial"/>
                      <w:color w:val="000000"/>
                    </w:rPr>
                    <w:t>£213,500</w:t>
                  </w:r>
                </w:p>
              </w:tc>
              <w:tc>
                <w:tcPr>
                  <w:tcW w:w="2016" w:type="dxa"/>
                  <w:tcBorders>
                    <w:top w:val="single" w:sz="6" w:space="0" w:color="000000"/>
                    <w:left w:val="single" w:sz="6" w:space="0" w:color="000000"/>
                    <w:bottom w:val="single" w:sz="6" w:space="0" w:color="000000"/>
                    <w:right w:val="single" w:sz="6" w:space="0" w:color="000000"/>
                  </w:tcBorders>
                  <w:vAlign w:val="center"/>
                </w:tcPr>
                <w:p w14:paraId="5EF02E2B" w14:textId="77777777" w:rsidR="00135311" w:rsidRDefault="00FD2E7F">
                  <w:pPr>
                    <w:keepLines w:val="0"/>
                    <w:suppressAutoHyphens w:val="0"/>
                    <w:spacing w:before="0" w:after="0"/>
                    <w:textAlignment w:val="auto"/>
                    <w:rPr>
                      <w:rFonts w:eastAsia="Arial"/>
                      <w:color w:val="000000"/>
                    </w:rPr>
                  </w:pPr>
                  <w:r>
                    <w:rPr>
                      <w:rFonts w:eastAsia="Arial"/>
                      <w:color w:val="000000"/>
                    </w:rPr>
                    <w:t>£209.69</w:t>
                  </w:r>
                </w:p>
              </w:tc>
            </w:tr>
            <w:tr w:rsidR="00135311" w14:paraId="22355C7A" w14:textId="77777777">
              <w:tc>
                <w:tcPr>
                  <w:tcW w:w="1045" w:type="dxa"/>
                  <w:tcBorders>
                    <w:top w:val="single" w:sz="6" w:space="0" w:color="000000"/>
                    <w:left w:val="single" w:sz="6" w:space="0" w:color="000000"/>
                    <w:bottom w:val="single" w:sz="6" w:space="0" w:color="000000"/>
                    <w:right w:val="single" w:sz="6" w:space="0" w:color="000000"/>
                  </w:tcBorders>
                  <w:vAlign w:val="center"/>
                </w:tcPr>
                <w:p w14:paraId="0184273A" w14:textId="77777777" w:rsidR="00135311" w:rsidRDefault="00FD2E7F">
                  <w:pPr>
                    <w:keepLines w:val="0"/>
                    <w:suppressAutoHyphens w:val="0"/>
                    <w:spacing w:before="0" w:after="0"/>
                    <w:textAlignment w:val="auto"/>
                    <w:rPr>
                      <w:rFonts w:eastAsia="Arial"/>
                      <w:color w:val="000000"/>
                    </w:rPr>
                  </w:pPr>
                  <w:r>
                    <w:rPr>
                      <w:rFonts w:eastAsia="Arial"/>
                      <w:color w:val="000000"/>
                    </w:rPr>
                    <w:t>75%</w:t>
                  </w:r>
                </w:p>
              </w:tc>
              <w:tc>
                <w:tcPr>
                  <w:tcW w:w="3308" w:type="dxa"/>
                  <w:tcBorders>
                    <w:top w:val="single" w:sz="6" w:space="0" w:color="000000"/>
                    <w:left w:val="single" w:sz="6" w:space="0" w:color="000000"/>
                    <w:bottom w:val="single" w:sz="6" w:space="0" w:color="000000"/>
                    <w:right w:val="single" w:sz="6" w:space="0" w:color="000000"/>
                  </w:tcBorders>
                  <w:vAlign w:val="center"/>
                </w:tcPr>
                <w:p w14:paraId="45E18A9A" w14:textId="77777777" w:rsidR="00135311" w:rsidRDefault="00FD2E7F">
                  <w:pPr>
                    <w:keepLines w:val="0"/>
                    <w:suppressAutoHyphens w:val="0"/>
                    <w:spacing w:before="0" w:after="0"/>
                    <w:textAlignment w:val="auto"/>
                    <w:rPr>
                      <w:rFonts w:eastAsia="Arial"/>
                      <w:color w:val="000000"/>
                    </w:rPr>
                  </w:pPr>
                  <w:r>
                    <w:rPr>
                      <w:rFonts w:eastAsia="Arial"/>
                      <w:color w:val="000000"/>
                    </w:rPr>
                    <w:t>£228,750</w:t>
                  </w:r>
                </w:p>
              </w:tc>
              <w:tc>
                <w:tcPr>
                  <w:tcW w:w="2016" w:type="dxa"/>
                  <w:tcBorders>
                    <w:top w:val="single" w:sz="6" w:space="0" w:color="000000"/>
                    <w:left w:val="single" w:sz="6" w:space="0" w:color="000000"/>
                    <w:bottom w:val="single" w:sz="6" w:space="0" w:color="000000"/>
                    <w:right w:val="single" w:sz="6" w:space="0" w:color="000000"/>
                  </w:tcBorders>
                  <w:vAlign w:val="center"/>
                </w:tcPr>
                <w:p w14:paraId="788F0811" w14:textId="77777777" w:rsidR="00135311" w:rsidRDefault="00FD2E7F">
                  <w:pPr>
                    <w:keepLines w:val="0"/>
                    <w:suppressAutoHyphens w:val="0"/>
                    <w:spacing w:before="0" w:after="0"/>
                    <w:textAlignment w:val="auto"/>
                    <w:rPr>
                      <w:rFonts w:eastAsia="Arial"/>
                      <w:color w:val="000000"/>
                    </w:rPr>
                  </w:pPr>
                  <w:r>
                    <w:rPr>
                      <w:rFonts w:eastAsia="Arial"/>
                      <w:color w:val="000000"/>
                    </w:rPr>
                    <w:t>£174.74</w:t>
                  </w:r>
                </w:p>
              </w:tc>
            </w:tr>
          </w:tbl>
          <w:p w14:paraId="7429882A" w14:textId="77777777" w:rsidR="00135311" w:rsidRDefault="00135311">
            <w:pPr>
              <w:pStyle w:val="Normalintable"/>
            </w:pPr>
          </w:p>
          <w:p w14:paraId="785996E9" w14:textId="77777777" w:rsidR="00135311" w:rsidRDefault="00135311">
            <w:pPr>
              <w:pStyle w:val="Normalintable"/>
              <w:tabs>
                <w:tab w:val="left" w:pos="2732"/>
              </w:tabs>
            </w:pPr>
          </w:p>
          <w:p w14:paraId="1FFF58F7" w14:textId="77777777" w:rsidR="00135311" w:rsidRDefault="00FD2E7F">
            <w:pPr>
              <w:pStyle w:val="Normalintable"/>
            </w:pPr>
            <w:r>
              <w:t>Note that not all homes will be available to purchase from 10</w:t>
            </w:r>
            <w:r>
              <w:rPr>
                <w:color w:val="000000"/>
              </w:rPr>
              <w:t xml:space="preserve">%. The </w:t>
            </w:r>
            <w:r>
              <w:rPr>
                <w:b/>
                <w:bCs/>
                <w:color w:val="000000"/>
              </w:rPr>
              <w:t>minimum initial share</w:t>
            </w:r>
            <w:r>
              <w:rPr>
                <w:color w:val="000000"/>
              </w:rPr>
              <w:t xml:space="preserve"> you can purchase will vary depending on the home.</w:t>
            </w:r>
          </w:p>
          <w:p w14:paraId="2204B9FF" w14:textId="77777777" w:rsidR="00135311" w:rsidRDefault="00135311">
            <w:pPr>
              <w:pStyle w:val="Normalintable"/>
              <w:tabs>
                <w:tab w:val="left" w:pos="2732"/>
              </w:tabs>
            </w:pPr>
          </w:p>
          <w:p w14:paraId="2A60434E" w14:textId="77777777" w:rsidR="00135311" w:rsidRDefault="00FD2E7F">
            <w:pPr>
              <w:pStyle w:val="Normalintable"/>
            </w:pPr>
            <w:r>
              <w:t>The percentage share and rent amount will change depending on the amount you can afford. You'll receive a worked example after a financial assessment.</w:t>
            </w:r>
          </w:p>
          <w:p w14:paraId="4A02CEBE" w14:textId="77777777" w:rsidR="00135311" w:rsidRDefault="00135311">
            <w:pPr>
              <w:pStyle w:val="Normalintable"/>
            </w:pPr>
          </w:p>
          <w:p w14:paraId="68C22CD5" w14:textId="77777777" w:rsidR="00135311" w:rsidRDefault="00FD2E7F">
            <w:pPr>
              <w:pStyle w:val="Normalintable"/>
            </w:pPr>
            <w:r>
              <w:t>Your annual rent is calculated as 2.75% of the remaining share of the full market value owned by the landlord.</w:t>
            </w:r>
          </w:p>
        </w:tc>
      </w:tr>
      <w:tr w:rsidR="00135311" w14:paraId="020FDF55" w14:textId="77777777">
        <w:tc>
          <w:tcPr>
            <w:tcW w:w="2880" w:type="dxa"/>
            <w:tcBorders>
              <w:top w:val="single" w:sz="4" w:space="0" w:color="000000"/>
              <w:left w:val="single" w:sz="4" w:space="0" w:color="000000"/>
              <w:bottom w:val="single" w:sz="4" w:space="0" w:color="000000"/>
              <w:right w:val="single" w:sz="4" w:space="0" w:color="000000"/>
            </w:tcBorders>
          </w:tcPr>
          <w:p w14:paraId="10E8B79A" w14:textId="77777777" w:rsidR="00135311" w:rsidRDefault="00FD2E7F">
            <w:pPr>
              <w:pStyle w:val="Normalintable"/>
              <w:rPr>
                <w:b/>
                <w:bCs/>
              </w:rPr>
            </w:pPr>
            <w:r>
              <w:rPr>
                <w:b/>
                <w:bCs/>
              </w:rPr>
              <w:t>Monthly payment to the landlord (excluding rent)</w:t>
            </w:r>
          </w:p>
        </w:tc>
        <w:tc>
          <w:tcPr>
            <w:tcW w:w="6585" w:type="dxa"/>
            <w:tcBorders>
              <w:top w:val="single" w:sz="4" w:space="0" w:color="000000"/>
              <w:left w:val="single" w:sz="4" w:space="0" w:color="000000"/>
              <w:bottom w:val="single" w:sz="4" w:space="0" w:color="000000"/>
              <w:right w:val="single" w:sz="4" w:space="0" w:color="000000"/>
            </w:tcBorders>
          </w:tcPr>
          <w:p w14:paraId="4AD84AD0" w14:textId="77777777" w:rsidR="00135311" w:rsidRDefault="00FD2E7F">
            <w:pPr>
              <w:pStyle w:val="Normalintable"/>
            </w:pPr>
            <w:r>
              <w:t>In addition to the rent above, the monthly payment to the landlord includes:</w:t>
            </w:r>
          </w:p>
          <w:p w14:paraId="66BAEC6B" w14:textId="77777777" w:rsidR="00135311" w:rsidRDefault="00135311">
            <w:pPr>
              <w:pStyle w:val="Normalintable"/>
            </w:pPr>
          </w:p>
          <w:tbl>
            <w:tblPr>
              <w:tblStyle w:val="TableGrid"/>
              <w:tblW w:w="6369" w:type="dxa"/>
              <w:tblLayout w:type="fixed"/>
              <w:tblCellMar>
                <w:left w:w="10" w:type="dxa"/>
                <w:right w:w="10" w:type="dxa"/>
              </w:tblCellMar>
              <w:tblLook w:val="04A0" w:firstRow="1" w:lastRow="0" w:firstColumn="1" w:lastColumn="0" w:noHBand="0" w:noVBand="1"/>
            </w:tblPr>
            <w:tblGrid>
              <w:gridCol w:w="3004"/>
              <w:gridCol w:w="3365"/>
            </w:tblGrid>
            <w:tr w:rsidR="00135311" w14:paraId="477A3632" w14:textId="77777777">
              <w:trPr>
                <w:trHeight w:val="20"/>
              </w:trPr>
              <w:tc>
                <w:tcPr>
                  <w:tcW w:w="3004" w:type="dxa"/>
                  <w:tcBorders>
                    <w:top w:val="nil"/>
                    <w:left w:val="nil"/>
                    <w:bottom w:val="nil"/>
                    <w:right w:val="nil"/>
                  </w:tcBorders>
                </w:tcPr>
                <w:p w14:paraId="2C0CC36D" w14:textId="77777777" w:rsidR="00135311" w:rsidRDefault="00FD2E7F">
                  <w:pPr>
                    <w:pStyle w:val="Normalintable"/>
                    <w:numPr>
                      <w:ilvl w:val="0"/>
                      <w:numId w:val="2"/>
                    </w:numPr>
                    <w:ind w:left="312"/>
                  </w:pPr>
                  <w:r>
                    <w:t>Service charge</w:t>
                  </w:r>
                </w:p>
              </w:tc>
              <w:tc>
                <w:tcPr>
                  <w:tcW w:w="3365" w:type="dxa"/>
                  <w:tcBorders>
                    <w:top w:val="nil"/>
                    <w:left w:val="nil"/>
                    <w:bottom w:val="nil"/>
                    <w:right w:val="nil"/>
                  </w:tcBorders>
                </w:tcPr>
                <w:p w14:paraId="00B1FE6C" w14:textId="77777777" w:rsidR="00135311" w:rsidRDefault="00FD2E7F">
                  <w:pPr>
                    <w:spacing w:before="0" w:after="0"/>
                    <w:contextualSpacing/>
                  </w:pPr>
                  <w:r>
                    <w:t>£1.67</w:t>
                  </w:r>
                </w:p>
              </w:tc>
            </w:tr>
            <w:tr w:rsidR="00135311" w14:paraId="14C067DE" w14:textId="77777777">
              <w:trPr>
                <w:trHeight w:val="20"/>
              </w:trPr>
              <w:tc>
                <w:tcPr>
                  <w:tcW w:w="3004" w:type="dxa"/>
                  <w:tcBorders>
                    <w:top w:val="nil"/>
                    <w:left w:val="nil"/>
                    <w:bottom w:val="nil"/>
                    <w:right w:val="nil"/>
                  </w:tcBorders>
                  <w:tcMar>
                    <w:left w:w="108" w:type="dxa"/>
                    <w:right w:w="108" w:type="dxa"/>
                  </w:tcMar>
                </w:tcPr>
                <w:p w14:paraId="367E0883" w14:textId="77777777" w:rsidR="00135311" w:rsidRDefault="00FD2E7F">
                  <w:pPr>
                    <w:pStyle w:val="Normalintable"/>
                    <w:numPr>
                      <w:ilvl w:val="0"/>
                      <w:numId w:val="2"/>
                    </w:numPr>
                    <w:ind w:left="312"/>
                  </w:pPr>
                  <w:r>
                    <w:t>Estate charge</w:t>
                  </w:r>
                </w:p>
              </w:tc>
              <w:tc>
                <w:tcPr>
                  <w:tcW w:w="3365" w:type="dxa"/>
                  <w:tcBorders>
                    <w:top w:val="nil"/>
                    <w:left w:val="nil"/>
                    <w:bottom w:val="nil"/>
                    <w:right w:val="nil"/>
                  </w:tcBorders>
                  <w:tcMar>
                    <w:left w:w="108" w:type="dxa"/>
                    <w:right w:w="108" w:type="dxa"/>
                  </w:tcMar>
                </w:tcPr>
                <w:p w14:paraId="1C19618F" w14:textId="77777777" w:rsidR="00135311" w:rsidRDefault="00FD2E7F">
                  <w:pPr>
                    <w:spacing w:before="0" w:after="0"/>
                    <w:contextualSpacing/>
                  </w:pPr>
                  <w:r>
                    <w:t>£8.33</w:t>
                  </w:r>
                </w:p>
              </w:tc>
            </w:tr>
            <w:tr w:rsidR="00135311" w14:paraId="171AB548" w14:textId="77777777">
              <w:trPr>
                <w:trHeight w:val="20"/>
              </w:trPr>
              <w:tc>
                <w:tcPr>
                  <w:tcW w:w="3004" w:type="dxa"/>
                  <w:tcBorders>
                    <w:top w:val="nil"/>
                    <w:left w:val="nil"/>
                    <w:bottom w:val="nil"/>
                    <w:right w:val="nil"/>
                  </w:tcBorders>
                  <w:tcMar>
                    <w:left w:w="108" w:type="dxa"/>
                    <w:right w:w="108" w:type="dxa"/>
                  </w:tcMar>
                </w:tcPr>
                <w:p w14:paraId="345D7CFA" w14:textId="77777777" w:rsidR="00135311" w:rsidRDefault="00FD2E7F">
                  <w:pPr>
                    <w:pStyle w:val="Normalintable"/>
                    <w:numPr>
                      <w:ilvl w:val="0"/>
                      <w:numId w:val="2"/>
                    </w:numPr>
                    <w:ind w:left="312"/>
                  </w:pPr>
                  <w:r>
                    <w:lastRenderedPageBreak/>
                    <w:t>Buildings insurance</w:t>
                  </w:r>
                </w:p>
              </w:tc>
              <w:tc>
                <w:tcPr>
                  <w:tcW w:w="3365" w:type="dxa"/>
                  <w:tcBorders>
                    <w:top w:val="nil"/>
                    <w:left w:val="nil"/>
                    <w:bottom w:val="nil"/>
                    <w:right w:val="nil"/>
                  </w:tcBorders>
                  <w:tcMar>
                    <w:left w:w="108" w:type="dxa"/>
                    <w:right w:w="108" w:type="dxa"/>
                  </w:tcMar>
                </w:tcPr>
                <w:p w14:paraId="019047AF" w14:textId="77777777" w:rsidR="00135311" w:rsidRDefault="00FD2E7F">
                  <w:pPr>
                    <w:spacing w:before="0" w:after="0"/>
                    <w:contextualSpacing/>
                  </w:pPr>
                  <w:r>
                    <w:t>£12.65</w:t>
                  </w:r>
                </w:p>
              </w:tc>
            </w:tr>
            <w:tr w:rsidR="00135311" w14:paraId="7FE5A089" w14:textId="77777777">
              <w:trPr>
                <w:trHeight w:val="20"/>
              </w:trPr>
              <w:tc>
                <w:tcPr>
                  <w:tcW w:w="3004" w:type="dxa"/>
                  <w:tcBorders>
                    <w:top w:val="nil"/>
                    <w:left w:val="nil"/>
                    <w:bottom w:val="nil"/>
                    <w:right w:val="nil"/>
                  </w:tcBorders>
                  <w:tcMar>
                    <w:left w:w="108" w:type="dxa"/>
                    <w:right w:w="108" w:type="dxa"/>
                  </w:tcMar>
                </w:tcPr>
                <w:p w14:paraId="76A9412D" w14:textId="77777777" w:rsidR="00135311" w:rsidRDefault="00FD2E7F">
                  <w:pPr>
                    <w:pStyle w:val="Normalintable"/>
                    <w:numPr>
                      <w:ilvl w:val="0"/>
                      <w:numId w:val="2"/>
                    </w:numPr>
                    <w:ind w:left="312"/>
                  </w:pPr>
                  <w:r>
                    <w:t>Management fee</w:t>
                  </w:r>
                </w:p>
              </w:tc>
              <w:tc>
                <w:tcPr>
                  <w:tcW w:w="3365" w:type="dxa"/>
                  <w:tcBorders>
                    <w:top w:val="nil"/>
                    <w:left w:val="nil"/>
                    <w:bottom w:val="nil"/>
                    <w:right w:val="nil"/>
                  </w:tcBorders>
                  <w:tcMar>
                    <w:left w:w="108" w:type="dxa"/>
                    <w:right w:w="108" w:type="dxa"/>
                  </w:tcMar>
                </w:tcPr>
                <w:p w14:paraId="563665A0" w14:textId="77777777" w:rsidR="00135311" w:rsidRDefault="00FD2E7F">
                  <w:pPr>
                    <w:spacing w:before="0" w:after="0"/>
                    <w:contextualSpacing/>
                  </w:pPr>
                  <w:r>
                    <w:t>£23.33</w:t>
                  </w:r>
                </w:p>
              </w:tc>
            </w:tr>
            <w:tr w:rsidR="00135311" w14:paraId="0ED7D6C9" w14:textId="77777777">
              <w:trPr>
                <w:trHeight w:val="20"/>
              </w:trPr>
              <w:tc>
                <w:tcPr>
                  <w:tcW w:w="3004" w:type="dxa"/>
                  <w:tcBorders>
                    <w:top w:val="nil"/>
                    <w:left w:val="nil"/>
                    <w:bottom w:val="nil"/>
                    <w:right w:val="nil"/>
                  </w:tcBorders>
                  <w:tcMar>
                    <w:left w:w="108" w:type="dxa"/>
                    <w:right w:w="108" w:type="dxa"/>
                  </w:tcMar>
                </w:tcPr>
                <w:p w14:paraId="274C99D0" w14:textId="77777777" w:rsidR="00135311" w:rsidRDefault="00FD2E7F">
                  <w:pPr>
                    <w:pStyle w:val="Normalintable"/>
                    <w:numPr>
                      <w:ilvl w:val="0"/>
                      <w:numId w:val="2"/>
                    </w:numPr>
                    <w:ind w:left="312"/>
                  </w:pPr>
                  <w:r>
                    <w:t>Reserve fund payment</w:t>
                  </w:r>
                </w:p>
              </w:tc>
              <w:tc>
                <w:tcPr>
                  <w:tcW w:w="3365" w:type="dxa"/>
                  <w:tcBorders>
                    <w:top w:val="nil"/>
                    <w:left w:val="nil"/>
                    <w:bottom w:val="nil"/>
                    <w:right w:val="nil"/>
                  </w:tcBorders>
                  <w:tcMar>
                    <w:left w:w="108" w:type="dxa"/>
                    <w:right w:w="108" w:type="dxa"/>
                  </w:tcMar>
                </w:tcPr>
                <w:p w14:paraId="40B585B9" w14:textId="1B9D1EB6" w:rsidR="00135311" w:rsidRDefault="00FD2E7F">
                  <w:pPr>
                    <w:spacing w:before="0" w:after="0"/>
                    <w:contextualSpacing/>
                  </w:pPr>
                  <w:r>
                    <w:t>£</w:t>
                  </w:r>
                  <w:r w:rsidR="00B155A3">
                    <w:t>n/a</w:t>
                  </w:r>
                </w:p>
              </w:tc>
            </w:tr>
            <w:tr w:rsidR="00135311" w14:paraId="08AE9BF3" w14:textId="77777777">
              <w:trPr>
                <w:trHeight w:val="20"/>
              </w:trPr>
              <w:tc>
                <w:tcPr>
                  <w:tcW w:w="3004" w:type="dxa"/>
                  <w:tcBorders>
                    <w:top w:val="nil"/>
                    <w:left w:val="nil"/>
                    <w:bottom w:val="nil"/>
                    <w:right w:val="nil"/>
                  </w:tcBorders>
                  <w:tcMar>
                    <w:left w:w="108" w:type="dxa"/>
                    <w:right w:w="108" w:type="dxa"/>
                  </w:tcMar>
                </w:tcPr>
                <w:p w14:paraId="0957A8ED" w14:textId="77777777" w:rsidR="00135311" w:rsidRDefault="00FD2E7F">
                  <w:pPr>
                    <w:pStyle w:val="Normalintable"/>
                    <w:numPr>
                      <w:ilvl w:val="0"/>
                      <w:numId w:val="2"/>
                    </w:numPr>
                    <w:ind w:left="312"/>
                  </w:pPr>
                  <w:r>
                    <w:t>Total monthly payment excluding rent</w:t>
                  </w:r>
                </w:p>
              </w:tc>
              <w:tc>
                <w:tcPr>
                  <w:tcW w:w="3365" w:type="dxa"/>
                  <w:tcBorders>
                    <w:top w:val="nil"/>
                    <w:left w:val="nil"/>
                    <w:bottom w:val="nil"/>
                    <w:right w:val="nil"/>
                  </w:tcBorders>
                  <w:tcMar>
                    <w:left w:w="108" w:type="dxa"/>
                    <w:right w:w="108" w:type="dxa"/>
                  </w:tcMar>
                </w:tcPr>
                <w:p w14:paraId="02F83FA7" w14:textId="77777777" w:rsidR="00135311" w:rsidRDefault="00FD2E7F">
                  <w:pPr>
                    <w:spacing w:before="0" w:after="0"/>
                    <w:contextualSpacing/>
                  </w:pPr>
                  <w:r>
                    <w:t>£45.98</w:t>
                  </w:r>
                </w:p>
              </w:tc>
            </w:tr>
          </w:tbl>
          <w:p w14:paraId="2DA16830" w14:textId="77777777" w:rsidR="00135311" w:rsidRDefault="00135311">
            <w:pPr>
              <w:pStyle w:val="Normalintable"/>
              <w:tabs>
                <w:tab w:val="left" w:pos="2732"/>
              </w:tabs>
            </w:pPr>
          </w:p>
          <w:p w14:paraId="2426B8AB" w14:textId="77777777" w:rsidR="00135311" w:rsidRDefault="00FD2E7F">
            <w:pPr>
              <w:pStyle w:val="Normalintable"/>
              <w:tabs>
                <w:tab w:val="left" w:pos="2732"/>
              </w:tabs>
            </w:pPr>
            <w:r>
              <w:t xml:space="preserve">Total monthly payments will typically be reviewed on an annual basis. </w:t>
            </w:r>
          </w:p>
          <w:p w14:paraId="7C874E66" w14:textId="77777777" w:rsidR="00135311" w:rsidRDefault="00135311">
            <w:pPr>
              <w:pStyle w:val="Normalintable"/>
              <w:tabs>
                <w:tab w:val="left" w:pos="2732"/>
              </w:tabs>
            </w:pPr>
          </w:p>
          <w:p w14:paraId="6DD7922E" w14:textId="77777777" w:rsidR="00135311" w:rsidRDefault="00FD2E7F">
            <w:pPr>
              <w:pStyle w:val="Normalintable"/>
              <w:tabs>
                <w:tab w:val="left" w:pos="2732"/>
              </w:tabs>
            </w:pPr>
            <w:r>
              <w:t>For more information, see section 4, ‘Service Charges’, in the 'Key information about shared ownership' document</w:t>
            </w:r>
          </w:p>
        </w:tc>
      </w:tr>
      <w:tr w:rsidR="00135311" w14:paraId="2522AE00" w14:textId="77777777">
        <w:tc>
          <w:tcPr>
            <w:tcW w:w="2880" w:type="dxa"/>
            <w:tcBorders>
              <w:top w:val="single" w:sz="4" w:space="0" w:color="000000"/>
              <w:left w:val="single" w:sz="4" w:space="0" w:color="000000"/>
              <w:bottom w:val="single" w:sz="4" w:space="0" w:color="000000"/>
              <w:right w:val="single" w:sz="4" w:space="0" w:color="000000"/>
            </w:tcBorders>
            <w:vAlign w:val="center"/>
          </w:tcPr>
          <w:p w14:paraId="35F773A8" w14:textId="77777777" w:rsidR="00135311" w:rsidRDefault="00FD2E7F">
            <w:pPr>
              <w:pStyle w:val="Normalintable"/>
              <w:rPr>
                <w:b/>
                <w:bCs/>
              </w:rPr>
            </w:pPr>
            <w:r>
              <w:rPr>
                <w:b/>
                <w:bCs/>
              </w:rPr>
              <w:lastRenderedPageBreak/>
              <w:t>Reservation fee</w:t>
            </w:r>
          </w:p>
        </w:tc>
        <w:tc>
          <w:tcPr>
            <w:tcW w:w="6585" w:type="dxa"/>
            <w:tcBorders>
              <w:top w:val="single" w:sz="4" w:space="0" w:color="000000"/>
              <w:left w:val="single" w:sz="4" w:space="0" w:color="000000"/>
              <w:bottom w:val="single" w:sz="4" w:space="0" w:color="000000"/>
              <w:right w:val="single" w:sz="4" w:space="0" w:color="000000"/>
            </w:tcBorders>
            <w:vAlign w:val="center"/>
          </w:tcPr>
          <w:p w14:paraId="711CBB36" w14:textId="77777777" w:rsidR="00135311" w:rsidRDefault="00FD2E7F">
            <w:pPr>
              <w:keepLines w:val="0"/>
              <w:suppressAutoHyphens w:val="0"/>
              <w:spacing w:before="0" w:after="150" w:line="312" w:lineRule="atLeast"/>
              <w:textAlignment w:val="auto"/>
              <w:rPr>
                <w:rFonts w:eastAsia="Arial"/>
                <w:b/>
                <w:bCs/>
              </w:rPr>
            </w:pPr>
            <w:r>
              <w:rPr>
                <w:rFonts w:eastAsia="Arial"/>
                <w:b/>
                <w:bCs/>
              </w:rPr>
              <w:t>£250</w:t>
            </w:r>
          </w:p>
          <w:p w14:paraId="76470CE3" w14:textId="77777777" w:rsidR="00135311" w:rsidRDefault="00FD2E7F">
            <w:pPr>
              <w:keepLines w:val="0"/>
              <w:suppressAutoHyphens w:val="0"/>
              <w:spacing w:line="312" w:lineRule="atLeast"/>
              <w:textAlignment w:val="auto"/>
              <w:rPr>
                <w:rFonts w:eastAsia="Arial"/>
              </w:rPr>
            </w:pPr>
            <w:r>
              <w:rPr>
                <w:rFonts w:eastAsia="Arial"/>
              </w:rPr>
              <w:t>You'll need to pay a reservation fee to secure your home. When you pay the fee, no one else will be able to reserve the home.</w:t>
            </w:r>
          </w:p>
          <w:p w14:paraId="1EC64D7D" w14:textId="5671A2FB" w:rsidR="00135311" w:rsidRDefault="00FD2E7F">
            <w:pPr>
              <w:keepLines w:val="0"/>
              <w:suppressAutoHyphens w:val="0"/>
              <w:spacing w:line="312" w:lineRule="atLeast"/>
              <w:textAlignment w:val="auto"/>
              <w:rPr>
                <w:rFonts w:eastAsia="Arial"/>
              </w:rPr>
            </w:pPr>
            <w:r>
              <w:rPr>
                <w:rFonts w:eastAsia="Arial"/>
              </w:rPr>
              <w:t xml:space="preserve">The reservation fee secures the home for </w:t>
            </w:r>
            <w:r w:rsidR="00B155A3">
              <w:rPr>
                <w:rFonts w:eastAsia="Arial"/>
              </w:rPr>
              <w:t>5</w:t>
            </w:r>
            <w:r>
              <w:rPr>
                <w:rFonts w:eastAsia="Arial"/>
              </w:rPr>
              <w:t>2 days. If you buy the home, the fee will be taken off the final amount you pay on completion. If you do not buy the home, the fee is not refundable.</w:t>
            </w:r>
          </w:p>
          <w:p w14:paraId="389772FA" w14:textId="77777777" w:rsidR="00135311" w:rsidRDefault="00135311">
            <w:pPr>
              <w:pStyle w:val="Normalintable"/>
            </w:pPr>
          </w:p>
        </w:tc>
      </w:tr>
      <w:tr w:rsidR="00135311" w14:paraId="1784C9B6" w14:textId="77777777">
        <w:tc>
          <w:tcPr>
            <w:tcW w:w="2880" w:type="dxa"/>
            <w:tcBorders>
              <w:top w:val="single" w:sz="4" w:space="0" w:color="000000"/>
              <w:left w:val="single" w:sz="4" w:space="0" w:color="000000"/>
              <w:bottom w:val="single" w:sz="4" w:space="0" w:color="000000"/>
              <w:right w:val="single" w:sz="4" w:space="0" w:color="000000"/>
            </w:tcBorders>
          </w:tcPr>
          <w:p w14:paraId="3E79ECEC" w14:textId="77777777" w:rsidR="00135311" w:rsidRDefault="00FD2E7F">
            <w:pPr>
              <w:pStyle w:val="Normalintable"/>
              <w:rPr>
                <w:b/>
                <w:bCs/>
              </w:rPr>
            </w:pPr>
            <w:r>
              <w:rPr>
                <w:b/>
                <w:bCs/>
              </w:rPr>
              <w:t>Eligibility</w:t>
            </w:r>
            <w:r>
              <w:t xml:space="preserve"> </w:t>
            </w:r>
            <w:r>
              <w:rPr>
                <w:b/>
                <w:bCs/>
              </w:rPr>
              <w:t>assessment</w:t>
            </w:r>
          </w:p>
        </w:tc>
        <w:tc>
          <w:tcPr>
            <w:tcW w:w="6585" w:type="dxa"/>
            <w:tcBorders>
              <w:top w:val="single" w:sz="4" w:space="0" w:color="000000"/>
              <w:left w:val="single" w:sz="4" w:space="0" w:color="000000"/>
              <w:bottom w:val="single" w:sz="4" w:space="0" w:color="000000"/>
              <w:right w:val="single" w:sz="4" w:space="0" w:color="000000"/>
            </w:tcBorders>
          </w:tcPr>
          <w:p w14:paraId="6682F90B" w14:textId="77777777" w:rsidR="00135311" w:rsidRDefault="00FD2E7F">
            <w:pPr>
              <w:pStyle w:val="Normalintable"/>
            </w:pPr>
            <w:r>
              <w:t>The housing provider will assess whether you meet the eligibility criteria for the scheme. </w:t>
            </w:r>
          </w:p>
          <w:p w14:paraId="4998F6A2" w14:textId="77777777" w:rsidR="00135311" w:rsidRDefault="00FD2E7F">
            <w:pPr>
              <w:pStyle w:val="Normalintable"/>
            </w:pPr>
            <w:r>
              <w:t>This will be based on the eligibility criteria for the shared ownership scheme and the housing provider’s specific policies. These include:</w:t>
            </w:r>
          </w:p>
          <w:p w14:paraId="0C3A8450" w14:textId="77777777" w:rsidR="00135311" w:rsidRDefault="00135311">
            <w:pPr>
              <w:pStyle w:val="Normalintable"/>
            </w:pPr>
          </w:p>
          <w:p w14:paraId="3BF2B446" w14:textId="77777777" w:rsidR="00135311" w:rsidRDefault="00FD2E7F">
            <w:pPr>
              <w:pStyle w:val="Normalintable"/>
              <w:numPr>
                <w:ilvl w:val="0"/>
                <w:numId w:val="3"/>
              </w:numPr>
            </w:pPr>
            <w:r>
              <w:t xml:space="preserve">The order in which you will be assessed </w:t>
            </w:r>
          </w:p>
          <w:p w14:paraId="68FAB8A5" w14:textId="77777777" w:rsidR="00135311" w:rsidRDefault="00FD2E7F">
            <w:pPr>
              <w:pStyle w:val="Normalintable"/>
              <w:numPr>
                <w:ilvl w:val="0"/>
                <w:numId w:val="3"/>
              </w:numPr>
            </w:pPr>
            <w:hyperlink r:id="rId8">
              <w:r>
                <w:rPr>
                  <w:rFonts w:eastAsia="Arial"/>
                  <w:color w:val="0000EE"/>
                  <w:u w:val="single" w:color="0000EE"/>
                </w:rPr>
                <w:t>First come first served policy</w:t>
              </w:r>
            </w:hyperlink>
          </w:p>
          <w:p w14:paraId="758A7C43" w14:textId="77777777" w:rsidR="00135311" w:rsidRDefault="00135311">
            <w:pPr>
              <w:pStyle w:val="Normalintable"/>
            </w:pPr>
          </w:p>
          <w:p w14:paraId="5CCE0CE0" w14:textId="77777777" w:rsidR="00135311" w:rsidRDefault="00FD2E7F">
            <w:pPr>
              <w:pStyle w:val="Normalintable"/>
            </w:pPr>
            <w:r>
              <w:t>You can apply to buy the home if both of the following apply:</w:t>
            </w:r>
          </w:p>
          <w:p w14:paraId="67D0D500" w14:textId="77777777" w:rsidR="00135311" w:rsidRDefault="00135311">
            <w:pPr>
              <w:pStyle w:val="Normalintable"/>
            </w:pPr>
          </w:p>
          <w:p w14:paraId="518842DB" w14:textId="77777777" w:rsidR="00135311" w:rsidRDefault="00FD2E7F">
            <w:pPr>
              <w:pStyle w:val="Normalintable"/>
              <w:numPr>
                <w:ilvl w:val="0"/>
                <w:numId w:val="2"/>
              </w:numPr>
            </w:pPr>
            <w:r>
              <w:t>your household income is £80,000 or less</w:t>
            </w:r>
          </w:p>
          <w:p w14:paraId="7379ADF0" w14:textId="77777777" w:rsidR="00135311" w:rsidRDefault="00FD2E7F">
            <w:pPr>
              <w:pStyle w:val="Normalintable"/>
              <w:numPr>
                <w:ilvl w:val="0"/>
                <w:numId w:val="2"/>
              </w:numPr>
            </w:pPr>
            <w:r>
              <w:t xml:space="preserve">you cannot afford </w:t>
            </w:r>
            <w:proofErr w:type="gramStart"/>
            <w:r>
              <w:t>all of</w:t>
            </w:r>
            <w:proofErr w:type="gramEnd"/>
            <w:r>
              <w:t xml:space="preserve"> the deposit and mortgage payments to buy a home that meets your needs</w:t>
            </w:r>
          </w:p>
          <w:p w14:paraId="1E12BCFC" w14:textId="77777777" w:rsidR="00135311" w:rsidRDefault="00135311">
            <w:pPr>
              <w:pStyle w:val="Normalintable"/>
              <w:ind w:left="720"/>
            </w:pPr>
          </w:p>
          <w:p w14:paraId="4FE8DF7F" w14:textId="77777777" w:rsidR="00135311" w:rsidRDefault="00FD2E7F">
            <w:pPr>
              <w:pStyle w:val="Normalintable"/>
            </w:pPr>
            <w:r>
              <w:t xml:space="preserve"> One of the following must also be true:</w:t>
            </w:r>
          </w:p>
          <w:p w14:paraId="33D2DDB5" w14:textId="77777777" w:rsidR="00135311" w:rsidRDefault="00135311">
            <w:pPr>
              <w:pStyle w:val="Normalintable"/>
            </w:pPr>
          </w:p>
          <w:p w14:paraId="3B90490A" w14:textId="77777777" w:rsidR="00135311" w:rsidRDefault="00FD2E7F">
            <w:pPr>
              <w:pStyle w:val="Normalintable"/>
              <w:numPr>
                <w:ilvl w:val="0"/>
                <w:numId w:val="2"/>
              </w:numPr>
            </w:pPr>
            <w:r>
              <w:t>you're a first-time buyer</w:t>
            </w:r>
          </w:p>
          <w:p w14:paraId="294EC7C5" w14:textId="77777777" w:rsidR="00135311" w:rsidRDefault="00FD2E7F">
            <w:pPr>
              <w:pStyle w:val="Normalintable"/>
              <w:numPr>
                <w:ilvl w:val="0"/>
                <w:numId w:val="2"/>
              </w:numPr>
            </w:pPr>
            <w:r>
              <w:t>you used to own a home but cannot afford to buy one now</w:t>
            </w:r>
          </w:p>
          <w:p w14:paraId="4E52A0D0" w14:textId="77777777" w:rsidR="00135311" w:rsidRDefault="00FD2E7F">
            <w:pPr>
              <w:pStyle w:val="Normalintable"/>
              <w:numPr>
                <w:ilvl w:val="0"/>
                <w:numId w:val="2"/>
              </w:numPr>
            </w:pPr>
            <w:r>
              <w:t>you're forming a new household - for example, after a relationship breakdown</w:t>
            </w:r>
          </w:p>
          <w:p w14:paraId="52F03A02" w14:textId="77777777" w:rsidR="00135311" w:rsidRDefault="00FD2E7F">
            <w:pPr>
              <w:pStyle w:val="Normalintable"/>
              <w:numPr>
                <w:ilvl w:val="0"/>
                <w:numId w:val="2"/>
              </w:numPr>
            </w:pPr>
            <w:r>
              <w:t>you're an existing shared owner, and you want to move</w:t>
            </w:r>
          </w:p>
          <w:p w14:paraId="64EE2E86" w14:textId="77777777" w:rsidR="00135311" w:rsidRDefault="00FD2E7F">
            <w:pPr>
              <w:pStyle w:val="Normalintable"/>
              <w:numPr>
                <w:ilvl w:val="0"/>
                <w:numId w:val="2"/>
              </w:numPr>
            </w:pPr>
            <w:r>
              <w:lastRenderedPageBreak/>
              <w:t>you own a home and want to move but cannot afford to buy a new home for your needs</w:t>
            </w:r>
          </w:p>
          <w:p w14:paraId="207BB5AE" w14:textId="77777777" w:rsidR="00135311" w:rsidRDefault="00135311">
            <w:pPr>
              <w:pStyle w:val="Normalintable"/>
            </w:pPr>
          </w:p>
          <w:p w14:paraId="44F5965F" w14:textId="77777777" w:rsidR="00135311" w:rsidRDefault="00FD2E7F">
            <w:pPr>
              <w:pStyle w:val="Normalintable"/>
            </w:pPr>
            <w:r>
              <w:t>If you own a home, you must have completed the sale of the home on or before the date you complete your shared ownership purchase.</w:t>
            </w:r>
          </w:p>
          <w:p w14:paraId="1C96A344" w14:textId="77777777" w:rsidR="00135311" w:rsidRDefault="00135311">
            <w:pPr>
              <w:pStyle w:val="Normalintable"/>
            </w:pPr>
          </w:p>
          <w:p w14:paraId="5A0218A1" w14:textId="77777777" w:rsidR="00135311" w:rsidRDefault="00FD2E7F">
            <w:pPr>
              <w:pStyle w:val="Normalintable"/>
            </w:pPr>
            <w:r>
              <w:rPr>
                <w:rStyle w:val="normaltextrun"/>
              </w:rPr>
              <w:t>As part of your application, your finances and credit history will be assessed to ensure that you can afford and sustain the rental and mortgage payments.</w:t>
            </w:r>
          </w:p>
          <w:p w14:paraId="1D77C9C8" w14:textId="77777777" w:rsidR="00135311" w:rsidRDefault="00135311">
            <w:pPr>
              <w:pStyle w:val="Normalintable"/>
            </w:pPr>
          </w:p>
        </w:tc>
      </w:tr>
      <w:tr w:rsidR="00135311" w14:paraId="2A2D41CC" w14:textId="77777777">
        <w:trPr>
          <w:trHeight w:val="340"/>
        </w:trPr>
        <w:tc>
          <w:tcPr>
            <w:tcW w:w="2880" w:type="dxa"/>
            <w:tcBorders>
              <w:top w:val="single" w:sz="4" w:space="0" w:color="000000"/>
              <w:left w:val="single" w:sz="4" w:space="0" w:color="000000"/>
              <w:bottom w:val="single" w:sz="4" w:space="0" w:color="000000"/>
              <w:right w:val="single" w:sz="4" w:space="0" w:color="000000"/>
            </w:tcBorders>
            <w:vAlign w:val="center"/>
          </w:tcPr>
          <w:p w14:paraId="5C3B0C9A" w14:textId="77777777" w:rsidR="00135311" w:rsidRDefault="00FD2E7F">
            <w:pPr>
              <w:pStyle w:val="Normalintable"/>
              <w:contextualSpacing/>
              <w:rPr>
                <w:b/>
                <w:bCs/>
              </w:rPr>
            </w:pPr>
            <w:r>
              <w:rPr>
                <w:b/>
                <w:bCs/>
              </w:rPr>
              <w:lastRenderedPageBreak/>
              <w:t>Affordability assessment</w:t>
            </w:r>
          </w:p>
        </w:tc>
        <w:tc>
          <w:tcPr>
            <w:tcW w:w="6585" w:type="dxa"/>
            <w:tcBorders>
              <w:top w:val="single" w:sz="4" w:space="0" w:color="000000"/>
              <w:left w:val="single" w:sz="4" w:space="0" w:color="000000"/>
              <w:bottom w:val="single" w:sz="4" w:space="0" w:color="000000"/>
              <w:right w:val="single" w:sz="4" w:space="0" w:color="000000"/>
            </w:tcBorders>
            <w:vAlign w:val="center"/>
          </w:tcPr>
          <w:p w14:paraId="605F66B4" w14:textId="77777777" w:rsidR="00135311" w:rsidRDefault="00FD2E7F">
            <w:pPr>
              <w:keepLines w:val="0"/>
              <w:suppressAutoHyphens w:val="0"/>
              <w:spacing w:before="0" w:line="312" w:lineRule="atLeast"/>
              <w:textAlignment w:val="auto"/>
              <w:rPr>
                <w:rFonts w:eastAsia="Arial"/>
              </w:rPr>
            </w:pPr>
            <w:r>
              <w:rPr>
                <w:rFonts w:eastAsia="Arial"/>
              </w:rPr>
              <w:t>Your affordability assessment will be carried out by a suitably qualified and experienced adviser.</w:t>
            </w:r>
          </w:p>
          <w:p w14:paraId="46F403C6" w14:textId="77777777" w:rsidR="00135311" w:rsidRDefault="00FD2E7F">
            <w:pPr>
              <w:keepLines w:val="0"/>
              <w:suppressAutoHyphens w:val="0"/>
              <w:spacing w:line="312" w:lineRule="atLeast"/>
              <w:textAlignment w:val="auto"/>
              <w:rPr>
                <w:rFonts w:eastAsia="Arial"/>
              </w:rPr>
            </w:pPr>
            <w:r>
              <w:rPr>
                <w:rFonts w:eastAsia="Arial"/>
              </w:rPr>
              <w:t>As part of the affordability assessment, you will need to provide documents to confirm your income, savings, and financial commitments.</w:t>
            </w:r>
          </w:p>
          <w:p w14:paraId="1A418A7D" w14:textId="77777777" w:rsidR="00135311" w:rsidRDefault="00FD2E7F">
            <w:pPr>
              <w:keepLines w:val="0"/>
              <w:suppressAutoHyphens w:val="0"/>
              <w:spacing w:line="312" w:lineRule="atLeast"/>
              <w:textAlignment w:val="auto"/>
              <w:rPr>
                <w:rFonts w:eastAsia="Arial"/>
              </w:rPr>
            </w:pPr>
            <w:r>
              <w:rPr>
                <w:rFonts w:eastAsia="Arial"/>
              </w:rPr>
              <w:t xml:space="preserve">The assessment will </w:t>
            </w:r>
            <w:proofErr w:type="gramStart"/>
            <w:r>
              <w:rPr>
                <w:rFonts w:eastAsia="Arial"/>
              </w:rPr>
              <w:t>take into account</w:t>
            </w:r>
            <w:proofErr w:type="gramEnd"/>
            <w:r>
              <w:rPr>
                <w:rFonts w:eastAsia="Arial"/>
              </w:rPr>
              <w:t xml:space="preserve"> the housing provider's specific policies including:</w:t>
            </w:r>
          </w:p>
          <w:p w14:paraId="5F6AA2CB" w14:textId="77777777" w:rsidR="00135311" w:rsidRDefault="00FD2E7F">
            <w:pPr>
              <w:keepLines w:val="0"/>
              <w:numPr>
                <w:ilvl w:val="0"/>
                <w:numId w:val="4"/>
              </w:numPr>
              <w:suppressAutoHyphens w:val="0"/>
              <w:spacing w:before="0" w:after="0" w:line="312" w:lineRule="atLeast"/>
              <w:ind w:left="360" w:hanging="340"/>
              <w:textAlignment w:val="auto"/>
              <w:rPr>
                <w:rFonts w:eastAsia="Arial"/>
              </w:rPr>
            </w:pPr>
            <w:r>
              <w:rPr>
                <w:rFonts w:eastAsia="Arial"/>
              </w:rPr>
              <w:t>How much money you will need to have available to be able to afford the home (</w:t>
            </w:r>
            <w:hyperlink r:id="rId9">
              <w:r>
                <w:rPr>
                  <w:rFonts w:eastAsia="Arial"/>
                  <w:color w:val="0000EE"/>
                  <w:u w:val="single" w:color="0000EE"/>
                </w:rPr>
                <w:t>Minimum Surplus Income Policy (MSIP)</w:t>
              </w:r>
            </w:hyperlink>
            <w:r>
              <w:rPr>
                <w:rFonts w:eastAsia="Arial"/>
              </w:rPr>
              <w:t>)</w:t>
            </w:r>
          </w:p>
          <w:p w14:paraId="18F4273B" w14:textId="77777777" w:rsidR="00135311" w:rsidRDefault="00FD2E7F">
            <w:pPr>
              <w:keepLines w:val="0"/>
              <w:suppressAutoHyphens w:val="0"/>
              <w:spacing w:before="0" w:after="0" w:line="312" w:lineRule="atLeast"/>
              <w:ind w:left="720" w:hanging="210"/>
              <w:textAlignment w:val="auto"/>
              <w:rPr>
                <w:rFonts w:eastAsia="Arial"/>
              </w:rPr>
            </w:pPr>
            <w:r>
              <w:rPr>
                <w:rFonts w:eastAsia="Arial"/>
              </w:rPr>
              <w:t>•  The minimum deposit you will need to buy the home (</w:t>
            </w:r>
            <w:hyperlink r:id="rId10">
              <w:r>
                <w:rPr>
                  <w:rFonts w:eastAsia="Arial"/>
                  <w:color w:val="0000EE"/>
                  <w:u w:val="single" w:color="0000EE"/>
                </w:rPr>
                <w:t>Minimum deposit policy</w:t>
              </w:r>
            </w:hyperlink>
            <w:r>
              <w:rPr>
                <w:rFonts w:eastAsia="Arial"/>
              </w:rPr>
              <w:t>)</w:t>
            </w:r>
          </w:p>
          <w:p w14:paraId="6991C1F8" w14:textId="77777777" w:rsidR="00135311" w:rsidRDefault="00FD2E7F">
            <w:pPr>
              <w:keepLines w:val="0"/>
              <w:suppressAutoHyphens w:val="0"/>
              <w:spacing w:before="0" w:after="0" w:line="312" w:lineRule="atLeast"/>
              <w:ind w:left="720" w:hanging="210"/>
              <w:textAlignment w:val="auto"/>
              <w:rPr>
                <w:rFonts w:eastAsia="Arial"/>
              </w:rPr>
            </w:pPr>
            <w:r>
              <w:rPr>
                <w:rFonts w:eastAsia="Arial"/>
              </w:rPr>
              <w:t>•  The minimum requirements for your credit history (</w:t>
            </w:r>
            <w:hyperlink r:id="rId11">
              <w:r>
                <w:rPr>
                  <w:rFonts w:eastAsia="Arial"/>
                  <w:color w:val="0000EE"/>
                  <w:u w:val="single" w:color="0000EE"/>
                </w:rPr>
                <w:t>Adverse credit policy</w:t>
              </w:r>
            </w:hyperlink>
            <w:r>
              <w:rPr>
                <w:rFonts w:eastAsia="Arial"/>
              </w:rPr>
              <w:t>)</w:t>
            </w:r>
          </w:p>
          <w:p w14:paraId="17CB487F" w14:textId="77777777" w:rsidR="00135311" w:rsidRDefault="00FD2E7F">
            <w:pPr>
              <w:keepLines w:val="0"/>
              <w:suppressAutoHyphens w:val="0"/>
              <w:spacing w:before="0" w:line="312" w:lineRule="atLeast"/>
              <w:ind w:left="720" w:hanging="210"/>
              <w:textAlignment w:val="auto"/>
              <w:rPr>
                <w:rFonts w:eastAsia="Arial"/>
              </w:rPr>
            </w:pPr>
            <w:r>
              <w:rPr>
                <w:rFonts w:eastAsia="Arial"/>
              </w:rPr>
              <w:t>•  </w:t>
            </w:r>
            <w:hyperlink r:id="rId12">
              <w:r>
                <w:rPr>
                  <w:rFonts w:eastAsia="Arial"/>
                  <w:color w:val="0000EE"/>
                  <w:u w:val="single" w:color="0000EE"/>
                </w:rPr>
                <w:t>Cash Buyer policy</w:t>
              </w:r>
            </w:hyperlink>
          </w:p>
          <w:p w14:paraId="6CA8FE36" w14:textId="77777777" w:rsidR="00135311" w:rsidRDefault="00135311">
            <w:pPr>
              <w:pStyle w:val="NormalWeb"/>
              <w:spacing w:before="0" w:after="0"/>
              <w:contextualSpacing/>
              <w:rPr>
                <w:rFonts w:ascii="Arial" w:hAnsi="Arial" w:cs="Arial"/>
              </w:rPr>
            </w:pPr>
          </w:p>
        </w:tc>
      </w:tr>
      <w:tr w:rsidR="00135311" w14:paraId="633B5EC2" w14:textId="77777777">
        <w:trPr>
          <w:trHeight w:val="340"/>
        </w:trPr>
        <w:tc>
          <w:tcPr>
            <w:tcW w:w="2880" w:type="dxa"/>
            <w:tcBorders>
              <w:top w:val="single" w:sz="4" w:space="0" w:color="000000"/>
              <w:left w:val="single" w:sz="4" w:space="0" w:color="000000"/>
              <w:bottom w:val="single" w:sz="4" w:space="0" w:color="000000"/>
              <w:right w:val="single" w:sz="4" w:space="0" w:color="000000"/>
            </w:tcBorders>
            <w:vAlign w:val="center"/>
          </w:tcPr>
          <w:p w14:paraId="25420368" w14:textId="77777777" w:rsidR="00135311" w:rsidRDefault="00FD2E7F">
            <w:pPr>
              <w:pStyle w:val="Normalintable"/>
              <w:rPr>
                <w:b/>
                <w:bCs/>
              </w:rPr>
            </w:pPr>
            <w:r>
              <w:rPr>
                <w:b/>
                <w:bCs/>
              </w:rPr>
              <w:t>Tenure</w:t>
            </w:r>
          </w:p>
        </w:tc>
        <w:tc>
          <w:tcPr>
            <w:tcW w:w="6585" w:type="dxa"/>
            <w:tcBorders>
              <w:top w:val="single" w:sz="4" w:space="0" w:color="000000"/>
              <w:left w:val="single" w:sz="4" w:space="0" w:color="000000"/>
              <w:bottom w:val="single" w:sz="4" w:space="0" w:color="000000"/>
              <w:right w:val="single" w:sz="4" w:space="0" w:color="000000"/>
            </w:tcBorders>
            <w:vAlign w:val="center"/>
          </w:tcPr>
          <w:p w14:paraId="70896D84" w14:textId="77777777" w:rsidR="00135311" w:rsidRDefault="00FD2E7F">
            <w:pPr>
              <w:pStyle w:val="Normalintable"/>
            </w:pPr>
            <w:r>
              <w:t>Leasehold</w:t>
            </w:r>
          </w:p>
        </w:tc>
      </w:tr>
      <w:tr w:rsidR="00135311" w14:paraId="22F1C4EF" w14:textId="77777777">
        <w:tc>
          <w:tcPr>
            <w:tcW w:w="2880" w:type="dxa"/>
            <w:tcBorders>
              <w:top w:val="single" w:sz="4" w:space="0" w:color="000000"/>
              <w:left w:val="single" w:sz="4" w:space="0" w:color="000000"/>
              <w:bottom w:val="single" w:sz="4" w:space="0" w:color="000000"/>
              <w:right w:val="single" w:sz="4" w:space="0" w:color="000000"/>
            </w:tcBorders>
            <w:vAlign w:val="center"/>
          </w:tcPr>
          <w:p w14:paraId="77AF116A" w14:textId="77777777" w:rsidR="00135311" w:rsidRDefault="00FD2E7F">
            <w:pPr>
              <w:pStyle w:val="Normalintable"/>
              <w:rPr>
                <w:b/>
                <w:bCs/>
              </w:rPr>
            </w:pPr>
            <w:r>
              <w:rPr>
                <w:b/>
                <w:bCs/>
              </w:rPr>
              <w:t>Lease type</w:t>
            </w:r>
          </w:p>
        </w:tc>
        <w:tc>
          <w:tcPr>
            <w:tcW w:w="6585" w:type="dxa"/>
            <w:tcBorders>
              <w:top w:val="single" w:sz="4" w:space="0" w:color="000000"/>
              <w:left w:val="single" w:sz="4" w:space="0" w:color="000000"/>
              <w:bottom w:val="single" w:sz="4" w:space="0" w:color="000000"/>
              <w:right w:val="single" w:sz="4" w:space="0" w:color="000000"/>
            </w:tcBorders>
            <w:vAlign w:val="center"/>
          </w:tcPr>
          <w:p w14:paraId="123C00A7" w14:textId="77777777" w:rsidR="00135311" w:rsidRDefault="00FD2E7F">
            <w:pPr>
              <w:pStyle w:val="Normalintable"/>
            </w:pPr>
            <w:r>
              <w:t>Shared ownership House lease</w:t>
            </w:r>
          </w:p>
        </w:tc>
      </w:tr>
      <w:tr w:rsidR="00135311" w14:paraId="5F8417C9" w14:textId="77777777">
        <w:tc>
          <w:tcPr>
            <w:tcW w:w="2880" w:type="dxa"/>
            <w:tcBorders>
              <w:top w:val="single" w:sz="4" w:space="0" w:color="000000"/>
              <w:left w:val="single" w:sz="4" w:space="0" w:color="000000"/>
              <w:bottom w:val="single" w:sz="4" w:space="0" w:color="000000"/>
              <w:right w:val="single" w:sz="4" w:space="0" w:color="000000"/>
            </w:tcBorders>
          </w:tcPr>
          <w:p w14:paraId="301CDC7E" w14:textId="77777777" w:rsidR="00135311" w:rsidRDefault="00FD2E7F">
            <w:pPr>
              <w:pStyle w:val="Normalintable"/>
              <w:rPr>
                <w:b/>
                <w:bCs/>
              </w:rPr>
            </w:pPr>
            <w:r>
              <w:rPr>
                <w:b/>
                <w:bCs/>
              </w:rPr>
              <w:t>Lease term</w:t>
            </w:r>
          </w:p>
        </w:tc>
        <w:tc>
          <w:tcPr>
            <w:tcW w:w="6585" w:type="dxa"/>
            <w:tcBorders>
              <w:top w:val="single" w:sz="4" w:space="0" w:color="000000"/>
              <w:left w:val="single" w:sz="4" w:space="0" w:color="000000"/>
              <w:bottom w:val="single" w:sz="4" w:space="0" w:color="000000"/>
              <w:right w:val="single" w:sz="4" w:space="0" w:color="000000"/>
            </w:tcBorders>
          </w:tcPr>
          <w:p w14:paraId="5E43952E" w14:textId="77777777" w:rsidR="00135311" w:rsidRDefault="00FD2E7F">
            <w:pPr>
              <w:pStyle w:val="Normalintable"/>
            </w:pPr>
            <w:r>
              <w:t>990 years</w:t>
            </w:r>
          </w:p>
          <w:p w14:paraId="61BEE385" w14:textId="77777777" w:rsidR="00135311" w:rsidRDefault="00135311">
            <w:pPr>
              <w:pStyle w:val="Normalintable"/>
            </w:pPr>
          </w:p>
          <w:p w14:paraId="732B4F0A" w14:textId="77777777" w:rsidR="00135311" w:rsidRDefault="00FD2E7F">
            <w:pPr>
              <w:pStyle w:val="Normalintable"/>
            </w:pPr>
            <w:r>
              <w:t>For more information, see section 2.5, ‘Lease extensions’, in the ‘Key information about shared ownership’ document.</w:t>
            </w:r>
          </w:p>
        </w:tc>
      </w:tr>
      <w:tr w:rsidR="00135311" w14:paraId="389582A3" w14:textId="77777777">
        <w:tc>
          <w:tcPr>
            <w:tcW w:w="2880" w:type="dxa"/>
            <w:tcBorders>
              <w:top w:val="single" w:sz="4" w:space="0" w:color="000000"/>
              <w:left w:val="single" w:sz="4" w:space="0" w:color="000000"/>
              <w:bottom w:val="single" w:sz="4" w:space="0" w:color="000000"/>
              <w:right w:val="single" w:sz="4" w:space="0" w:color="000000"/>
            </w:tcBorders>
          </w:tcPr>
          <w:p w14:paraId="69915C40" w14:textId="77777777" w:rsidR="00135311" w:rsidRDefault="00FD2E7F">
            <w:pPr>
              <w:pStyle w:val="Normalintable"/>
              <w:rPr>
                <w:b/>
                <w:bCs/>
              </w:rPr>
            </w:pPr>
            <w:r>
              <w:rPr>
                <w:b/>
                <w:bCs/>
              </w:rPr>
              <w:t>Rent review</w:t>
            </w:r>
          </w:p>
        </w:tc>
        <w:tc>
          <w:tcPr>
            <w:tcW w:w="6585" w:type="dxa"/>
            <w:tcBorders>
              <w:top w:val="single" w:sz="4" w:space="0" w:color="000000"/>
              <w:left w:val="single" w:sz="4" w:space="0" w:color="000000"/>
              <w:bottom w:val="single" w:sz="4" w:space="0" w:color="000000"/>
              <w:right w:val="single" w:sz="4" w:space="0" w:color="000000"/>
            </w:tcBorders>
          </w:tcPr>
          <w:p w14:paraId="088CE21D" w14:textId="77777777" w:rsidR="00135311" w:rsidRDefault="00FD2E7F">
            <w:pPr>
              <w:pStyle w:val="Normalintable"/>
              <w:spacing w:line="250" w:lineRule="auto"/>
            </w:pPr>
            <w:r>
              <w:t>Your rent will be reviewed each year by a set formula using the Consumer Price Index (CPI) for the previous 12 months plus 1.00%.</w:t>
            </w:r>
          </w:p>
          <w:p w14:paraId="1FCB245D" w14:textId="77777777" w:rsidR="00135311" w:rsidRDefault="00135311">
            <w:pPr>
              <w:pStyle w:val="Normalintable"/>
            </w:pPr>
          </w:p>
          <w:p w14:paraId="4F3ED59B" w14:textId="77777777" w:rsidR="00135311" w:rsidRDefault="00FD2E7F">
            <w:pPr>
              <w:pStyle w:val="Normalintable"/>
            </w:pPr>
            <w:r>
              <w:lastRenderedPageBreak/>
              <w:t xml:space="preserve">For more information, see the Rent Review section in the 'Summary of Costs' document which includes an example of how rent could increase over a </w:t>
            </w:r>
            <w:proofErr w:type="gramStart"/>
            <w:r>
              <w:t>5 year</w:t>
            </w:r>
            <w:proofErr w:type="gramEnd"/>
            <w:r>
              <w:t xml:space="preserve"> period. A worked example demonstrating how the rent is calculated at review is also set out in Appendix 2 of the lease.</w:t>
            </w:r>
          </w:p>
        </w:tc>
      </w:tr>
      <w:tr w:rsidR="00135311" w14:paraId="5C9899D7" w14:textId="77777777">
        <w:tc>
          <w:tcPr>
            <w:tcW w:w="2880" w:type="dxa"/>
            <w:tcBorders>
              <w:top w:val="single" w:sz="4" w:space="0" w:color="000000"/>
              <w:left w:val="single" w:sz="4" w:space="0" w:color="000000"/>
              <w:bottom w:val="single" w:sz="4" w:space="0" w:color="000000"/>
              <w:right w:val="single" w:sz="4" w:space="0" w:color="000000"/>
            </w:tcBorders>
            <w:vAlign w:val="center"/>
          </w:tcPr>
          <w:p w14:paraId="5AC16D32" w14:textId="77777777" w:rsidR="00135311" w:rsidRDefault="00FD2E7F">
            <w:pPr>
              <w:pStyle w:val="Normalintable"/>
              <w:rPr>
                <w:b/>
                <w:bCs/>
              </w:rPr>
            </w:pPr>
            <w:r>
              <w:rPr>
                <w:b/>
                <w:bCs/>
              </w:rPr>
              <w:lastRenderedPageBreak/>
              <w:t>Maximum share you can own</w:t>
            </w:r>
          </w:p>
        </w:tc>
        <w:tc>
          <w:tcPr>
            <w:tcW w:w="6585" w:type="dxa"/>
            <w:tcBorders>
              <w:top w:val="single" w:sz="4" w:space="0" w:color="000000"/>
              <w:left w:val="single" w:sz="4" w:space="0" w:color="000000"/>
              <w:bottom w:val="single" w:sz="4" w:space="0" w:color="000000"/>
              <w:right w:val="single" w:sz="4" w:space="0" w:color="000000"/>
            </w:tcBorders>
            <w:vAlign w:val="center"/>
          </w:tcPr>
          <w:p w14:paraId="49870A07" w14:textId="77777777" w:rsidR="00135311" w:rsidRDefault="00FD2E7F">
            <w:pPr>
              <w:pStyle w:val="Normalintable"/>
            </w:pPr>
            <w:r>
              <w:t>You can buy up to 100% of your home.</w:t>
            </w:r>
          </w:p>
        </w:tc>
      </w:tr>
      <w:tr w:rsidR="00135311" w14:paraId="50EF74C2" w14:textId="77777777">
        <w:tc>
          <w:tcPr>
            <w:tcW w:w="2880" w:type="dxa"/>
            <w:tcBorders>
              <w:top w:val="single" w:sz="4" w:space="0" w:color="000000"/>
              <w:left w:val="single" w:sz="4" w:space="0" w:color="000000"/>
              <w:bottom w:val="single" w:sz="4" w:space="0" w:color="000000"/>
              <w:right w:val="single" w:sz="4" w:space="0" w:color="000000"/>
            </w:tcBorders>
            <w:vAlign w:val="center"/>
          </w:tcPr>
          <w:p w14:paraId="6552AB23" w14:textId="77777777" w:rsidR="00135311" w:rsidRDefault="00FD2E7F">
            <w:pPr>
              <w:pStyle w:val="Normalintable"/>
              <w:rPr>
                <w:b/>
                <w:bCs/>
              </w:rPr>
            </w:pPr>
            <w:r>
              <w:rPr>
                <w:b/>
                <w:bCs/>
              </w:rPr>
              <w:t>Transfer of freehold</w:t>
            </w:r>
          </w:p>
        </w:tc>
        <w:tc>
          <w:tcPr>
            <w:tcW w:w="6585" w:type="dxa"/>
            <w:tcBorders>
              <w:top w:val="single" w:sz="4" w:space="0" w:color="000000"/>
              <w:left w:val="single" w:sz="4" w:space="0" w:color="000000"/>
              <w:bottom w:val="single" w:sz="4" w:space="0" w:color="000000"/>
              <w:right w:val="single" w:sz="4" w:space="0" w:color="000000"/>
            </w:tcBorders>
            <w:vAlign w:val="center"/>
          </w:tcPr>
          <w:p w14:paraId="2F7C5C58" w14:textId="77777777" w:rsidR="00135311" w:rsidRDefault="00FD2E7F">
            <w:pPr>
              <w:pStyle w:val="Normalintable"/>
            </w:pPr>
            <w:r>
              <w:t>At 100% ownership, the freehold will transfer to you.</w:t>
            </w:r>
          </w:p>
        </w:tc>
      </w:tr>
      <w:tr w:rsidR="00135311" w14:paraId="1056374D" w14:textId="77777777">
        <w:tc>
          <w:tcPr>
            <w:tcW w:w="2880" w:type="dxa"/>
            <w:tcBorders>
              <w:top w:val="single" w:sz="4" w:space="0" w:color="000000"/>
              <w:left w:val="single" w:sz="4" w:space="0" w:color="000000"/>
              <w:bottom w:val="single" w:sz="4" w:space="0" w:color="000000"/>
              <w:right w:val="single" w:sz="4" w:space="0" w:color="000000"/>
            </w:tcBorders>
          </w:tcPr>
          <w:p w14:paraId="0D5F19AF" w14:textId="77777777" w:rsidR="00135311" w:rsidRDefault="00FD2E7F">
            <w:pPr>
              <w:pStyle w:val="Normalintable"/>
              <w:rPr>
                <w:b/>
                <w:bCs/>
              </w:rPr>
            </w:pPr>
            <w:r>
              <w:rPr>
                <w:b/>
                <w:bCs/>
              </w:rPr>
              <w:t>Landlord</w:t>
            </w:r>
          </w:p>
        </w:tc>
        <w:tc>
          <w:tcPr>
            <w:tcW w:w="6585" w:type="dxa"/>
            <w:tcBorders>
              <w:top w:val="single" w:sz="4" w:space="0" w:color="000000"/>
              <w:left w:val="single" w:sz="4" w:space="0" w:color="000000"/>
              <w:bottom w:val="single" w:sz="4" w:space="0" w:color="000000"/>
              <w:right w:val="single" w:sz="4" w:space="0" w:color="000000"/>
            </w:tcBorders>
          </w:tcPr>
          <w:p w14:paraId="146914EF" w14:textId="77777777" w:rsidR="00135311" w:rsidRDefault="00FD2E7F">
            <w:pPr>
              <w:pStyle w:val="NoSpacing"/>
            </w:pPr>
            <w:r>
              <w:t>Platform Housing Group</w:t>
            </w:r>
          </w:p>
          <w:p w14:paraId="1E54DDCF" w14:textId="77777777" w:rsidR="00135311" w:rsidRDefault="00FD2E7F">
            <w:pPr>
              <w:pStyle w:val="Normalintable"/>
            </w:pPr>
            <w:r>
              <w:t>1700 Solihull Parkway Solihull, B37 7YD</w:t>
            </w:r>
          </w:p>
          <w:p w14:paraId="38CDFE87" w14:textId="77777777" w:rsidR="00135311" w:rsidRDefault="00135311">
            <w:pPr>
              <w:pStyle w:val="Normalintable"/>
            </w:pPr>
          </w:p>
          <w:p w14:paraId="51AA60F3" w14:textId="77777777" w:rsidR="00135311" w:rsidRDefault="00FD2E7F">
            <w:pPr>
              <w:pStyle w:val="Normalintable"/>
            </w:pPr>
            <w:r>
              <w:t>Under a shared ownership lease, you pay for a percentage share of the market value of a home. You enter into a lease agreement with the landlord and agree to pay rent to the landlord on the remaining share.</w:t>
            </w:r>
          </w:p>
        </w:tc>
      </w:tr>
      <w:tr w:rsidR="00135311" w14:paraId="22C73BA8" w14:textId="77777777">
        <w:tc>
          <w:tcPr>
            <w:tcW w:w="2880" w:type="dxa"/>
            <w:tcBorders>
              <w:top w:val="single" w:sz="4" w:space="0" w:color="000000"/>
              <w:left w:val="single" w:sz="4" w:space="0" w:color="000000"/>
              <w:bottom w:val="single" w:sz="4" w:space="0" w:color="000000"/>
              <w:right w:val="single" w:sz="4" w:space="0" w:color="000000"/>
            </w:tcBorders>
          </w:tcPr>
          <w:p w14:paraId="56944376" w14:textId="77777777" w:rsidR="00135311" w:rsidRDefault="00FD2E7F">
            <w:pPr>
              <w:pStyle w:val="Normalintable"/>
              <w:rPr>
                <w:b/>
                <w:bCs/>
              </w:rPr>
            </w:pPr>
            <w:r>
              <w:rPr>
                <w:b/>
                <w:bCs/>
              </w:rPr>
              <w:t>Initial repair period</w:t>
            </w:r>
          </w:p>
        </w:tc>
        <w:tc>
          <w:tcPr>
            <w:tcW w:w="6585" w:type="dxa"/>
            <w:tcBorders>
              <w:top w:val="single" w:sz="4" w:space="0" w:color="000000"/>
              <w:left w:val="single" w:sz="4" w:space="0" w:color="000000"/>
              <w:bottom w:val="single" w:sz="4" w:space="0" w:color="000000"/>
              <w:right w:val="single" w:sz="4" w:space="0" w:color="000000"/>
            </w:tcBorders>
          </w:tcPr>
          <w:p w14:paraId="10ECF271" w14:textId="77777777" w:rsidR="00135311" w:rsidRDefault="00FD2E7F">
            <w:pPr>
              <w:pStyle w:val="Normalintable"/>
            </w:pPr>
            <w:r>
              <w:t>Up to £500 a year for the first 10 years to help with essential repairs. For more information, see section 5, 'Maintaining and living in the home', in the 'Key information about shared ownership' document.</w:t>
            </w:r>
            <w:r>
              <w:br/>
            </w:r>
          </w:p>
          <w:p w14:paraId="6D1D9418" w14:textId="77777777" w:rsidR="00135311" w:rsidRDefault="00FD2E7F">
            <w:pPr>
              <w:pStyle w:val="Normalintable"/>
            </w:pPr>
            <w:r>
              <w:t>For more information, see section 6, 'Maintaining and living in the home', in the 'Key information about shared ownership' document.</w:t>
            </w:r>
          </w:p>
        </w:tc>
      </w:tr>
      <w:tr w:rsidR="00135311" w14:paraId="0653333E" w14:textId="77777777">
        <w:tc>
          <w:tcPr>
            <w:tcW w:w="2880" w:type="dxa"/>
            <w:tcBorders>
              <w:top w:val="single" w:sz="4" w:space="0" w:color="000000"/>
              <w:left w:val="single" w:sz="4" w:space="0" w:color="000000"/>
              <w:bottom w:val="single" w:sz="4" w:space="0" w:color="000000"/>
              <w:right w:val="single" w:sz="4" w:space="0" w:color="000000"/>
            </w:tcBorders>
          </w:tcPr>
          <w:p w14:paraId="504854E7" w14:textId="77777777" w:rsidR="00135311" w:rsidRDefault="00FD2E7F">
            <w:pPr>
              <w:pStyle w:val="Normalintable"/>
              <w:rPr>
                <w:b/>
                <w:bCs/>
              </w:rPr>
            </w:pPr>
            <w:r>
              <w:rPr>
                <w:b/>
                <w:bCs/>
              </w:rPr>
              <w:t>Landlord’s nomination period</w:t>
            </w:r>
          </w:p>
        </w:tc>
        <w:tc>
          <w:tcPr>
            <w:tcW w:w="6585" w:type="dxa"/>
            <w:tcBorders>
              <w:top w:val="single" w:sz="4" w:space="0" w:color="000000"/>
              <w:left w:val="single" w:sz="4" w:space="0" w:color="000000"/>
              <w:bottom w:val="single" w:sz="4" w:space="0" w:color="000000"/>
              <w:right w:val="single" w:sz="4" w:space="0" w:color="000000"/>
            </w:tcBorders>
          </w:tcPr>
          <w:p w14:paraId="01EDF697" w14:textId="77777777" w:rsidR="00135311" w:rsidRDefault="00FD2E7F">
            <w:pPr>
              <w:pStyle w:val="Normalintable"/>
            </w:pPr>
            <w:r>
              <w:t>When you give the landlord notice that you intend to sell your share in your home, the landlord has 4 weeks to find a buyer. The landlord may offer to buy back your share, but only in exceptional circumstances and if they have funds available. If they do not find a buyer within 4 weeks, you can sell your share yourself on the open market. For example, through an estate agent.</w:t>
            </w:r>
          </w:p>
          <w:p w14:paraId="2119BC13" w14:textId="77777777" w:rsidR="00135311" w:rsidRDefault="00135311">
            <w:pPr>
              <w:pStyle w:val="Normalintable"/>
            </w:pPr>
          </w:p>
          <w:p w14:paraId="7350E7BD" w14:textId="77777777" w:rsidR="00135311" w:rsidRDefault="00FD2E7F">
            <w:pPr>
              <w:pStyle w:val="Normalintable"/>
            </w:pPr>
            <w:r>
              <w:t>The landlord may decide to waive their rights to the nomination period (either from the outset or during the existing nomination period).</w:t>
            </w:r>
          </w:p>
          <w:p w14:paraId="01D72F68" w14:textId="77777777" w:rsidR="00135311" w:rsidRDefault="00135311">
            <w:pPr>
              <w:pStyle w:val="Normalintable"/>
            </w:pPr>
          </w:p>
          <w:p w14:paraId="37425211" w14:textId="77777777" w:rsidR="00135311" w:rsidRDefault="00FD2E7F">
            <w:pPr>
              <w:pStyle w:val="Normalintable"/>
            </w:pPr>
            <w:r>
              <w:t>For more information, see section 8.4, ‘Landlords Nomination Period’, in the 'Key information about shared ownership' document</w:t>
            </w:r>
          </w:p>
        </w:tc>
      </w:tr>
      <w:tr w:rsidR="00135311" w14:paraId="36987915" w14:textId="77777777">
        <w:tc>
          <w:tcPr>
            <w:tcW w:w="2880" w:type="dxa"/>
            <w:tcBorders>
              <w:top w:val="single" w:sz="4" w:space="0" w:color="000000"/>
              <w:left w:val="single" w:sz="4" w:space="0" w:color="000000"/>
              <w:bottom w:val="single" w:sz="4" w:space="0" w:color="000000"/>
              <w:right w:val="single" w:sz="4" w:space="0" w:color="000000"/>
            </w:tcBorders>
            <w:vAlign w:val="center"/>
          </w:tcPr>
          <w:p w14:paraId="40E18C91" w14:textId="77777777" w:rsidR="00135311" w:rsidRDefault="00FD2E7F">
            <w:pPr>
              <w:pStyle w:val="Normalintable"/>
              <w:rPr>
                <w:b/>
                <w:bCs/>
              </w:rPr>
            </w:pPr>
            <w:r>
              <w:rPr>
                <w:b/>
                <w:bCs/>
              </w:rPr>
              <w:t>Pets</w:t>
            </w:r>
          </w:p>
        </w:tc>
        <w:tc>
          <w:tcPr>
            <w:tcW w:w="6585" w:type="dxa"/>
            <w:tcBorders>
              <w:top w:val="single" w:sz="4" w:space="0" w:color="000000"/>
              <w:left w:val="single" w:sz="4" w:space="0" w:color="000000"/>
              <w:bottom w:val="single" w:sz="4" w:space="0" w:color="000000"/>
              <w:right w:val="single" w:sz="4" w:space="0" w:color="000000"/>
            </w:tcBorders>
            <w:vAlign w:val="center"/>
          </w:tcPr>
          <w:p w14:paraId="27DA759D" w14:textId="77777777" w:rsidR="00135311" w:rsidRDefault="00FD2E7F">
            <w:pPr>
              <w:keepLines w:val="0"/>
              <w:suppressAutoHyphens w:val="0"/>
              <w:spacing w:before="0" w:line="312" w:lineRule="atLeast"/>
              <w:textAlignment w:val="auto"/>
              <w:rPr>
                <w:rFonts w:eastAsia="Arial"/>
              </w:rPr>
            </w:pPr>
            <w:r>
              <w:rPr>
                <w:rFonts w:eastAsia="Arial"/>
              </w:rPr>
              <w:t>You can keep pets at the home.</w:t>
            </w:r>
          </w:p>
          <w:p w14:paraId="02DEC0D6" w14:textId="77777777" w:rsidR="00135311" w:rsidRDefault="00135311">
            <w:pPr>
              <w:pStyle w:val="Normalintable"/>
            </w:pPr>
          </w:p>
        </w:tc>
      </w:tr>
      <w:tr w:rsidR="00135311" w14:paraId="19740E3B" w14:textId="77777777">
        <w:tc>
          <w:tcPr>
            <w:tcW w:w="2880" w:type="dxa"/>
            <w:tcBorders>
              <w:top w:val="single" w:sz="4" w:space="0" w:color="000000"/>
              <w:left w:val="single" w:sz="4" w:space="0" w:color="000000"/>
              <w:bottom w:val="single" w:sz="4" w:space="0" w:color="000000"/>
              <w:right w:val="single" w:sz="4" w:space="0" w:color="000000"/>
            </w:tcBorders>
          </w:tcPr>
          <w:p w14:paraId="1269DBF9" w14:textId="77777777" w:rsidR="00135311" w:rsidRDefault="00FD2E7F">
            <w:pPr>
              <w:pStyle w:val="Normalintable"/>
              <w:rPr>
                <w:b/>
                <w:bCs/>
              </w:rPr>
            </w:pPr>
            <w:r>
              <w:rPr>
                <w:b/>
                <w:bCs/>
              </w:rPr>
              <w:t>Subletting</w:t>
            </w:r>
          </w:p>
        </w:tc>
        <w:tc>
          <w:tcPr>
            <w:tcW w:w="6585" w:type="dxa"/>
            <w:tcBorders>
              <w:top w:val="single" w:sz="4" w:space="0" w:color="000000"/>
              <w:left w:val="single" w:sz="4" w:space="0" w:color="000000"/>
              <w:bottom w:val="single" w:sz="4" w:space="0" w:color="000000"/>
              <w:right w:val="single" w:sz="4" w:space="0" w:color="000000"/>
            </w:tcBorders>
          </w:tcPr>
          <w:p w14:paraId="02289290" w14:textId="77777777" w:rsidR="00135311" w:rsidRDefault="00FD2E7F">
            <w:pPr>
              <w:pStyle w:val="Normalintable"/>
            </w:pPr>
            <w:r>
              <w:t>You can rent out a room in the home, but you must live there at the same time.</w:t>
            </w:r>
          </w:p>
          <w:p w14:paraId="698B4D24" w14:textId="77777777" w:rsidR="00135311" w:rsidRDefault="00135311">
            <w:pPr>
              <w:pStyle w:val="Normalintable"/>
            </w:pPr>
          </w:p>
          <w:p w14:paraId="201B4C14" w14:textId="77777777" w:rsidR="00135311" w:rsidRDefault="00FD2E7F">
            <w:pPr>
              <w:pStyle w:val="Normalintable"/>
            </w:pPr>
            <w:r>
              <w:lastRenderedPageBreak/>
              <w:t>You cannot sublet (rent out) your entire home unless you either:</w:t>
            </w:r>
          </w:p>
          <w:p w14:paraId="52425842" w14:textId="77777777" w:rsidR="00135311" w:rsidRDefault="00135311">
            <w:pPr>
              <w:pStyle w:val="Normalintable"/>
            </w:pPr>
          </w:p>
          <w:p w14:paraId="5640B045" w14:textId="77777777" w:rsidR="00135311" w:rsidRDefault="00FD2E7F">
            <w:pPr>
              <w:pStyle w:val="Normalintable"/>
              <w:numPr>
                <w:ilvl w:val="0"/>
                <w:numId w:val="2"/>
              </w:numPr>
            </w:pPr>
            <w:r>
              <w:t>own a 100% share; or</w:t>
            </w:r>
          </w:p>
          <w:p w14:paraId="0AB72E2C" w14:textId="77777777" w:rsidR="00135311" w:rsidRDefault="00FD2E7F">
            <w:pPr>
              <w:pStyle w:val="Normalintable"/>
              <w:numPr>
                <w:ilvl w:val="0"/>
                <w:numId w:val="2"/>
              </w:numPr>
            </w:pPr>
            <w:r>
              <w:t>have your landlord's permission which they will only give in exceptional circumstances (see section 1.5 in ‘Key information about shared ownership’ document)</w:t>
            </w:r>
          </w:p>
          <w:p w14:paraId="3072FF10" w14:textId="77777777" w:rsidR="00135311" w:rsidRDefault="00135311">
            <w:pPr>
              <w:pStyle w:val="Normalintable"/>
              <w:ind w:left="360"/>
            </w:pPr>
          </w:p>
          <w:p w14:paraId="46AFE1AD" w14:textId="77777777" w:rsidR="00135311" w:rsidRDefault="00FD2E7F">
            <w:pPr>
              <w:pStyle w:val="Normalintable"/>
              <w:ind w:left="360"/>
            </w:pPr>
            <w:r>
              <w:t xml:space="preserve">and </w:t>
            </w:r>
          </w:p>
          <w:p w14:paraId="64719405" w14:textId="77777777" w:rsidR="00135311" w:rsidRDefault="00135311">
            <w:pPr>
              <w:pStyle w:val="Normalintable"/>
            </w:pPr>
          </w:p>
          <w:p w14:paraId="74486C6A" w14:textId="77777777" w:rsidR="00135311" w:rsidRDefault="00FD2E7F">
            <w:pPr>
              <w:pStyle w:val="Normalintable"/>
              <w:numPr>
                <w:ilvl w:val="0"/>
                <w:numId w:val="2"/>
              </w:numPr>
            </w:pPr>
            <w:r>
              <w:t>have your mortgage lender’s permission if you have a mortgage</w:t>
            </w:r>
          </w:p>
        </w:tc>
      </w:tr>
    </w:tbl>
    <w:p w14:paraId="14529A52" w14:textId="77777777" w:rsidR="00135311" w:rsidRDefault="00135311">
      <w:pPr>
        <w:keepLines w:val="0"/>
        <w:suppressAutoHyphens w:val="0"/>
        <w:spacing w:before="0" w:after="0"/>
        <w:rPr>
          <w:rFonts w:eastAsia="Yu Gothic Light"/>
          <w:b/>
          <w:bCs/>
          <w:color w:val="000000"/>
          <w:sz w:val="36"/>
          <w:szCs w:val="32"/>
          <w:u w:val="single"/>
        </w:rPr>
      </w:pPr>
    </w:p>
    <w:sectPr w:rsidR="00135311">
      <w:footerReference w:type="even" r:id="rId13"/>
      <w:footerReference w:type="default" r:id="rId14"/>
      <w:footerReference w:type="first" r:id="rId15"/>
      <w:pgSz w:w="11906" w:h="16838"/>
      <w:pgMar w:top="864" w:right="1440" w:bottom="864" w:left="1440" w:header="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04EC6" w14:textId="77777777" w:rsidR="00AE5B81" w:rsidRDefault="00AE5B81">
      <w:pPr>
        <w:spacing w:before="0" w:after="0"/>
      </w:pPr>
      <w:r>
        <w:separator/>
      </w:r>
    </w:p>
  </w:endnote>
  <w:endnote w:type="continuationSeparator" w:id="0">
    <w:p w14:paraId="651A9477" w14:textId="77777777" w:rsidR="00AE5B81" w:rsidRDefault="00AE5B8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1"/>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827BD" w14:textId="77777777" w:rsidR="00135311" w:rsidRDefault="001353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4B642" w14:textId="77777777" w:rsidR="00135311" w:rsidRDefault="00FD2E7F">
    <w:pPr>
      <w:pStyle w:val="Footer"/>
    </w:pPr>
    <w:r>
      <w:rPr>
        <w:noProof/>
      </w:rPr>
      <mc:AlternateContent>
        <mc:Choice Requires="wps">
          <w:drawing>
            <wp:anchor distT="0" distB="0" distL="0" distR="0" simplePos="0" relativeHeight="251657216" behindDoc="1" locked="0" layoutInCell="0" allowOverlap="1" wp14:anchorId="1C8982D4" wp14:editId="626CCB11">
              <wp:simplePos x="0" y="0"/>
              <wp:positionH relativeFrom="page">
                <wp:posOffset>0</wp:posOffset>
              </wp:positionH>
              <wp:positionV relativeFrom="page">
                <wp:posOffset>10236200</wp:posOffset>
              </wp:positionV>
              <wp:extent cx="7556500" cy="266700"/>
              <wp:effectExtent l="0" t="0" r="0" b="0"/>
              <wp:wrapNone/>
              <wp:docPr id="1" name="MSIPCM7e63424cb784b3650aa6cbe1" descr="{&quot;HashCode&quot;:-166337246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0" y="0"/>
                        <a:ext cx="7556400" cy="266760"/>
                      </a:xfrm>
                      <a:prstGeom prst="rect">
                        <a:avLst/>
                      </a:prstGeom>
                      <a:noFill/>
                      <a:ln w="0">
                        <a:noFill/>
                      </a:ln>
                    </wps:spPr>
                    <wps:style>
                      <a:lnRef idx="0">
                        <a:scrgbClr r="0" g="0" b="0"/>
                      </a:lnRef>
                      <a:fillRef idx="0">
                        <a:scrgbClr r="0" g="0" b="0"/>
                      </a:fillRef>
                      <a:effectRef idx="0">
                        <a:scrgbClr r="0" g="0" b="0"/>
                      </a:effectRef>
                      <a:fontRef idx="minor"/>
                    </wps:style>
                    <wps:txbx>
                      <w:txbxContent>
                        <w:p w14:paraId="652DED69" w14:textId="77777777" w:rsidR="00135311" w:rsidRDefault="00FD2E7F">
                          <w:pPr>
                            <w:pStyle w:val="FrameContents"/>
                            <w:spacing w:before="0" w:after="0"/>
                            <w:jc w:val="center"/>
                            <w:rPr>
                              <w:rFonts w:ascii="Calibri" w:hAnsi="Calibri" w:cs="Calibri"/>
                              <w:color w:val="0078D7"/>
                            </w:rPr>
                          </w:pPr>
                          <w:r>
                            <w:rPr>
                              <w:rFonts w:ascii="Calibri" w:hAnsi="Calibri" w:cs="Calibri"/>
                              <w:color w:val="0078D7"/>
                            </w:rPr>
                            <w:t xml:space="preserve">OFFICIAL </w:t>
                          </w:r>
                        </w:p>
                      </w:txbxContent>
                    </wps:txbx>
                    <wps:bodyPr tIns="0" bIns="0" anchor="b">
                      <a:noAutofit/>
                    </wps:bodyPr>
                  </wps:wsp>
                </a:graphicData>
              </a:graphic>
            </wp:anchor>
          </w:drawing>
        </mc:Choice>
        <mc:Fallback>
          <w:pict>
            <v:rect w14:anchorId="1C8982D4" id="MSIPCM7e63424cb784b3650aa6cbe1" o:spid="_x0000_s1026" alt="{&quot;HashCode&quot;:-1663372469,&quot;Height&quot;:842.0,&quot;Width&quot;:595.0,&quot;Placement&quot;:&quot;Footer&quot;,&quot;Index&quot;:&quot;Primary&quot;,&quot;Section&quot;:1,&quot;Top&quot;:0.0,&quot;Left&quot;:0.0}" style="position:absolute;margin-left:0;margin-top:806pt;width:595pt;height:21pt;z-index:-251659264;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" o:allowincell="f" filled="f" stroked="f" strokeweight="0">
              <v:textbox inset=",0,,0">
                <w:txbxContent>
                  <w:p w14:paraId="652DED69" w14:textId="77777777" w:rsidR="00135311" w:rsidRDefault="00FD2E7F">
                    <w:pPr>
                      <w:pStyle w:val="FrameContents"/>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FF4FB" w14:textId="77777777" w:rsidR="00135311" w:rsidRDefault="00FD2E7F">
    <w:pPr>
      <w:pStyle w:val="Footer"/>
    </w:pPr>
    <w:r>
      <w:rPr>
        <w:noProof/>
      </w:rPr>
      <mc:AlternateContent>
        <mc:Choice Requires="wps">
          <w:drawing>
            <wp:anchor distT="0" distB="0" distL="0" distR="0" simplePos="0" relativeHeight="251658240" behindDoc="1" locked="0" layoutInCell="0" allowOverlap="1" wp14:anchorId="02B73308" wp14:editId="492D63F1">
              <wp:simplePos x="0" y="0"/>
              <wp:positionH relativeFrom="page">
                <wp:posOffset>0</wp:posOffset>
              </wp:positionH>
              <wp:positionV relativeFrom="page">
                <wp:posOffset>10236200</wp:posOffset>
              </wp:positionV>
              <wp:extent cx="7556500" cy="266700"/>
              <wp:effectExtent l="0" t="0" r="0" b="0"/>
              <wp:wrapNone/>
              <wp:docPr id="2" name="MSIPCM7e63424cb784b3650aa6cbe1" descr="{&quot;HashCode&quot;:-166337246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0" y="0"/>
                        <a:ext cx="7556400" cy="266760"/>
                      </a:xfrm>
                      <a:prstGeom prst="rect">
                        <a:avLst/>
                      </a:prstGeom>
                      <a:noFill/>
                      <a:ln w="0">
                        <a:noFill/>
                      </a:ln>
                    </wps:spPr>
                    <wps:style>
                      <a:lnRef idx="0">
                        <a:scrgbClr r="0" g="0" b="0"/>
                      </a:lnRef>
                      <a:fillRef idx="0">
                        <a:scrgbClr r="0" g="0" b="0"/>
                      </a:fillRef>
                      <a:effectRef idx="0">
                        <a:scrgbClr r="0" g="0" b="0"/>
                      </a:effectRef>
                      <a:fontRef idx="minor"/>
                    </wps:style>
                    <wps:txbx>
                      <w:txbxContent>
                        <w:p w14:paraId="6216448C" w14:textId="77777777" w:rsidR="00135311" w:rsidRDefault="00FD2E7F">
                          <w:pPr>
                            <w:pStyle w:val="FrameContents"/>
                            <w:spacing w:before="0" w:after="0"/>
                            <w:jc w:val="center"/>
                            <w:rPr>
                              <w:rFonts w:ascii="Calibri" w:hAnsi="Calibri" w:cs="Calibri"/>
                              <w:color w:val="0078D7"/>
                            </w:rPr>
                          </w:pPr>
                          <w:r>
                            <w:rPr>
                              <w:rFonts w:ascii="Calibri" w:hAnsi="Calibri" w:cs="Calibri"/>
                              <w:color w:val="0078D7"/>
                            </w:rPr>
                            <w:t xml:space="preserve">OFFICIAL </w:t>
                          </w:r>
                        </w:p>
                      </w:txbxContent>
                    </wps:txbx>
                    <wps:bodyPr tIns="0" bIns="0" anchor="b">
                      <a:noAutofit/>
                    </wps:bodyPr>
                  </wps:wsp>
                </a:graphicData>
              </a:graphic>
            </wp:anchor>
          </w:drawing>
        </mc:Choice>
        <mc:Fallback>
          <w:pict>
            <v:rect w14:anchorId="02B73308" id="_x0000_s1027" alt="{&quot;HashCode&quot;:-1663372469,&quot;Height&quot;:842.0,&quot;Width&quot;:595.0,&quot;Placement&quot;:&quot;Footer&quot;,&quot;Index&quot;:&quot;Primary&quot;,&quot;Section&quot;:1,&quot;Top&quot;:0.0,&quot;Left&quot;:0.0}" style="position:absolute;margin-left:0;margin-top:806pt;width:595pt;height:21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" o:allowincell="f" filled="f" stroked="f" strokeweight="0">
              <v:textbox inset=",0,,0">
                <w:txbxContent>
                  <w:p w14:paraId="6216448C" w14:textId="77777777" w:rsidR="00135311" w:rsidRDefault="00FD2E7F">
                    <w:pPr>
                      <w:pStyle w:val="FrameContents"/>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E1CB3" w14:textId="77777777" w:rsidR="00AE5B81" w:rsidRDefault="00AE5B81">
      <w:pPr>
        <w:spacing w:before="0" w:after="0"/>
      </w:pPr>
      <w:r>
        <w:separator/>
      </w:r>
    </w:p>
  </w:footnote>
  <w:footnote w:type="continuationSeparator" w:id="0">
    <w:p w14:paraId="52B80893" w14:textId="77777777" w:rsidR="00AE5B81" w:rsidRDefault="00AE5B81">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858F3"/>
    <w:multiLevelType w:val="multilevel"/>
    <w:tmpl w:val="6B1CABCA"/>
    <w:lvl w:ilvl="0">
      <w:start w:val="1"/>
      <w:numFmt w:val="bullet"/>
      <w:lvlText w:val="•"/>
      <w:lvlJc w:val="left"/>
      <w:pPr>
        <w:tabs>
          <w:tab w:val="num" w:pos="0"/>
        </w:tabs>
        <w:ind w:left="720" w:hanging="360"/>
      </w:pPr>
      <w:rPr>
        <w:rFonts w:ascii="Arial" w:hAnsi="Arial" w:cs="Arial" w:hint="default"/>
        <w:color w:val="auto"/>
        <w:sz w:val="20"/>
      </w:rPr>
    </w:lvl>
    <w:lvl w:ilvl="1">
      <w:numFmt w:val="bullet"/>
      <w:lvlText w:val="o"/>
      <w:lvlJc w:val="left"/>
      <w:pPr>
        <w:tabs>
          <w:tab w:val="num" w:pos="0"/>
        </w:tabs>
        <w:ind w:left="1440" w:hanging="360"/>
      </w:pPr>
      <w:rPr>
        <w:rFonts w:ascii="Courier New" w:hAnsi="Courier New" w:cs="Courier New" w:hint="default"/>
        <w:sz w:val="20"/>
      </w:rPr>
    </w:lvl>
    <w:lvl w:ilvl="2">
      <w:numFmt w:val="bullet"/>
      <w:lvlText w:val=""/>
      <w:lvlJc w:val="left"/>
      <w:pPr>
        <w:tabs>
          <w:tab w:val="num" w:pos="0"/>
        </w:tabs>
        <w:ind w:left="2160" w:hanging="360"/>
      </w:pPr>
      <w:rPr>
        <w:rFonts w:ascii="Wingdings" w:hAnsi="Wingdings" w:cs="Wingdings" w:hint="default"/>
        <w:sz w:val="20"/>
      </w:rPr>
    </w:lvl>
    <w:lvl w:ilvl="3">
      <w:numFmt w:val="bullet"/>
      <w:lvlText w:val=""/>
      <w:lvlJc w:val="left"/>
      <w:pPr>
        <w:tabs>
          <w:tab w:val="num" w:pos="0"/>
        </w:tabs>
        <w:ind w:left="2880" w:hanging="360"/>
      </w:pPr>
      <w:rPr>
        <w:rFonts w:ascii="Wingdings" w:hAnsi="Wingdings" w:cs="Wingdings" w:hint="default"/>
        <w:sz w:val="20"/>
      </w:rPr>
    </w:lvl>
    <w:lvl w:ilvl="4">
      <w:numFmt w:val="bullet"/>
      <w:lvlText w:val=""/>
      <w:lvlJc w:val="left"/>
      <w:pPr>
        <w:tabs>
          <w:tab w:val="num" w:pos="0"/>
        </w:tabs>
        <w:ind w:left="3600" w:hanging="360"/>
      </w:pPr>
      <w:rPr>
        <w:rFonts w:ascii="Wingdings" w:hAnsi="Wingdings" w:cs="Wingdings" w:hint="default"/>
        <w:sz w:val="20"/>
      </w:rPr>
    </w:lvl>
    <w:lvl w:ilvl="5">
      <w:numFmt w:val="bullet"/>
      <w:lvlText w:val=""/>
      <w:lvlJc w:val="left"/>
      <w:pPr>
        <w:tabs>
          <w:tab w:val="num" w:pos="0"/>
        </w:tabs>
        <w:ind w:left="4320" w:hanging="360"/>
      </w:pPr>
      <w:rPr>
        <w:rFonts w:ascii="Wingdings" w:hAnsi="Wingdings" w:cs="Wingdings" w:hint="default"/>
        <w:sz w:val="20"/>
      </w:rPr>
    </w:lvl>
    <w:lvl w:ilvl="6">
      <w:numFmt w:val="bullet"/>
      <w:lvlText w:val=""/>
      <w:lvlJc w:val="left"/>
      <w:pPr>
        <w:tabs>
          <w:tab w:val="num" w:pos="0"/>
        </w:tabs>
        <w:ind w:left="5040" w:hanging="360"/>
      </w:pPr>
      <w:rPr>
        <w:rFonts w:ascii="Wingdings" w:hAnsi="Wingdings" w:cs="Wingdings" w:hint="default"/>
        <w:sz w:val="20"/>
      </w:rPr>
    </w:lvl>
    <w:lvl w:ilvl="7">
      <w:numFmt w:val="bullet"/>
      <w:lvlText w:val=""/>
      <w:lvlJc w:val="left"/>
      <w:pPr>
        <w:tabs>
          <w:tab w:val="num" w:pos="0"/>
        </w:tabs>
        <w:ind w:left="5760" w:hanging="360"/>
      </w:pPr>
      <w:rPr>
        <w:rFonts w:ascii="Wingdings" w:hAnsi="Wingdings" w:cs="Wingdings" w:hint="default"/>
        <w:sz w:val="20"/>
      </w:rPr>
    </w:lvl>
    <w:lvl w:ilvl="8">
      <w:numFmt w:val="bullet"/>
      <w:lvlText w:val=""/>
      <w:lvlJc w:val="left"/>
      <w:pPr>
        <w:tabs>
          <w:tab w:val="num" w:pos="0"/>
        </w:tabs>
        <w:ind w:left="6480" w:hanging="360"/>
      </w:pPr>
      <w:rPr>
        <w:rFonts w:ascii="Wingdings" w:hAnsi="Wingdings" w:cs="Wingdings" w:hint="default"/>
        <w:sz w:val="20"/>
      </w:rPr>
    </w:lvl>
  </w:abstractNum>
  <w:abstractNum w:abstractNumId="1" w15:restartNumberingAfterBreak="0">
    <w:nsid w:val="2BC26907"/>
    <w:multiLevelType w:val="multilevel"/>
    <w:tmpl w:val="00A29D78"/>
    <w:lvl w:ilvl="0">
      <w:start w:val="1"/>
      <w:numFmt w:val="bullet"/>
      <w:lvlText w:val="•"/>
      <w:lvlJc w:val="left"/>
      <w:pPr>
        <w:tabs>
          <w:tab w:val="num" w:pos="0"/>
        </w:tabs>
        <w:ind w:left="720" w:hanging="360"/>
      </w:pPr>
      <w:rPr>
        <w:rFonts w:ascii="Arial" w:hAnsi="Arial" w:cs="Aria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EC044B8"/>
    <w:multiLevelType w:val="multilevel"/>
    <w:tmpl w:val="F576587C"/>
    <w:lvl w:ilvl="0">
      <w:start w:val="1"/>
      <w:numFmt w:val="bullet"/>
      <w:lvlText w:val="•"/>
      <w:lvlJc w:val="left"/>
      <w:pPr>
        <w:tabs>
          <w:tab w:val="num" w:pos="0"/>
        </w:tabs>
        <w:ind w:left="720" w:hanging="360"/>
      </w:pPr>
      <w:rPr>
        <w:rFonts w:ascii="Arial" w:hAnsi="Arial" w:cs="Aria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80B6E41"/>
    <w:multiLevelType w:val="multilevel"/>
    <w:tmpl w:val="23443F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66D55551"/>
    <w:multiLevelType w:val="multilevel"/>
    <w:tmpl w:val="A33265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734811611">
    <w:abstractNumId w:val="2"/>
  </w:num>
  <w:num w:numId="2" w16cid:durableId="1799839979">
    <w:abstractNumId w:val="1"/>
  </w:num>
  <w:num w:numId="3" w16cid:durableId="780994271">
    <w:abstractNumId w:val="0"/>
  </w:num>
  <w:num w:numId="4" w16cid:durableId="326323687">
    <w:abstractNumId w:val="3"/>
  </w:num>
  <w:num w:numId="5" w16cid:durableId="1766214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11"/>
    <w:rsid w:val="000D1EE1"/>
    <w:rsid w:val="00135311"/>
    <w:rsid w:val="005E2267"/>
    <w:rsid w:val="00AE5B81"/>
    <w:rsid w:val="00B155A3"/>
    <w:rsid w:val="00C67756"/>
    <w:rsid w:val="00FD2E7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C2954"/>
  <w15:docId w15:val="{53157D2F-E1BB-4ACD-86CE-0F0E21A71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pacing w:before="240" w:after="240"/>
      <w:textAlignment w:val="baseline"/>
    </w:pPr>
    <w:rPr>
      <w:rFonts w:ascii="Arial" w:hAnsi="Arial"/>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unhideWhenUsed/>
    <w:qFormat/>
    <w:pPr>
      <w:outlineLvl w:val="1"/>
    </w:pPr>
    <w:rPr>
      <w:sz w:val="32"/>
    </w:rPr>
  </w:style>
  <w:style w:type="paragraph" w:styleId="Heading3">
    <w:name w:val="heading 3"/>
    <w:basedOn w:val="Normal"/>
    <w:next w:val="Normal"/>
    <w:uiPriority w:val="9"/>
    <w:semiHidden/>
    <w:unhideWhenUsed/>
    <w:qFormat/>
    <w:pPr>
      <w:keepNext/>
      <w:spacing w:before="40"/>
      <w:outlineLvl w:val="2"/>
    </w:pPr>
    <w:rPr>
      <w:rFonts w:eastAsia="Yu Gothic Light"/>
      <w:b/>
      <w:bCs/>
      <w:color w:val="000000"/>
    </w:rPr>
  </w:style>
  <w:style w:type="paragraph" w:styleId="Heading4">
    <w:name w:val="heading 4"/>
    <w:basedOn w:val="Normal"/>
    <w:next w:val="Normal"/>
    <w:uiPriority w:val="9"/>
    <w:semiHidden/>
    <w:unhideWhenUsed/>
    <w:qFormat/>
    <w:pPr>
      <w:keepNext/>
      <w:spacing w:before="40"/>
      <w:outlineLvl w:val="3"/>
    </w:pPr>
    <w:rPr>
      <w:rFonts w:eastAsia="Yu Gothic Light"/>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rPr>
  </w:style>
  <w:style w:type="character" w:customStyle="1" w:styleId="BalloonTextChar">
    <w:name w:val="Balloon Text Char"/>
    <w:basedOn w:val="DefaultParagraphFont"/>
    <w:rPr>
      <w:rFonts w:ascii="Times New Roman" w:hAnsi="Times New Roman" w:cs="Times New Roman"/>
      <w:sz w:val="18"/>
      <w:szCs w:val="18"/>
    </w:rPr>
  </w:style>
  <w:style w:type="character" w:styleId="CommentReference">
    <w:name w:val="annotation reference"/>
    <w:basedOn w:val="DefaultParagraphFont"/>
    <w:qFormat/>
    <w:rPr>
      <w:sz w:val="16"/>
      <w:szCs w:val="16"/>
    </w:rPr>
  </w:style>
  <w:style w:type="character" w:customStyle="1" w:styleId="CommentTextChar">
    <w:name w:val="Comment Text Char"/>
    <w:basedOn w:val="DefaultParagraphFont"/>
    <w:rPr>
      <w:sz w:val="20"/>
      <w:szCs w:val="20"/>
      <w:lang w:val="en-US"/>
    </w:rPr>
  </w:style>
  <w:style w:type="character" w:styleId="BookTitle">
    <w:name w:val="Book Title"/>
    <w:basedOn w:val="DefaultParagraphFont"/>
    <w:qFormat/>
    <w:rPr>
      <w:b/>
      <w:bCs/>
      <w:i/>
      <w:iCs/>
      <w:spacing w:val="5"/>
    </w:rPr>
  </w:style>
  <w:style w:type="character" w:customStyle="1" w:styleId="Heading3Char">
    <w:name w:val="Heading 3 Char"/>
    <w:basedOn w:val="DefaultParagraphFont"/>
    <w:rPr>
      <w:rFonts w:ascii="Arial" w:eastAsia="Yu Gothic Light" w:hAnsi="Arial" w:cs="Arial"/>
      <w:b/>
      <w:bCs/>
      <w:color w:val="000000"/>
    </w:rPr>
  </w:style>
  <w:style w:type="character" w:customStyle="1" w:styleId="CommentSubjectChar">
    <w:name w:val="Comment Subject Char"/>
    <w:basedOn w:val="CommentTextChar"/>
    <w:rPr>
      <w:b/>
      <w:bCs/>
      <w:sz w:val="20"/>
      <w:szCs w:val="20"/>
      <w:lang w:val="en-US"/>
    </w:rPr>
  </w:style>
  <w:style w:type="character" w:customStyle="1" w:styleId="Mention1">
    <w:name w:val="Mention1"/>
    <w:basedOn w:val="DefaultParagraphFont"/>
    <w:rPr>
      <w:color w:val="2B579A"/>
      <w:shd w:val="clear" w:color="auto" w:fill="E6E6E6"/>
    </w:rPr>
  </w:style>
  <w:style w:type="character" w:customStyle="1" w:styleId="HeaderChar">
    <w:name w:val="Header Char"/>
    <w:basedOn w:val="DefaultParagraphFont"/>
  </w:style>
  <w:style w:type="character" w:customStyle="1" w:styleId="FooterChar">
    <w:name w:val="Footer Char"/>
    <w:basedOn w:val="DefaultParagraphFont"/>
  </w:style>
  <w:style w:type="character" w:styleId="FollowedHyperlink">
    <w:name w:val="FollowedHyperlink"/>
    <w:basedOn w:val="DefaultParagraphFont"/>
    <w:rPr>
      <w:color w:val="954F72"/>
      <w:u w:val="single"/>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ing4Char">
    <w:name w:val="Heading 4 Char"/>
    <w:basedOn w:val="DefaultParagraphFont"/>
    <w:rPr>
      <w:rFonts w:ascii="Arial" w:eastAsia="Yu Gothic Light" w:hAnsi="Arial" w:cs="Arial"/>
      <w:b/>
      <w:bCs/>
      <w:color w:val="000000"/>
    </w:rPr>
  </w:style>
  <w:style w:type="character" w:customStyle="1" w:styleId="UnresolvedMention2">
    <w:name w:val="Unresolved Mention2"/>
    <w:basedOn w:val="DefaultParagraphFont"/>
    <w:rPr>
      <w:color w:val="605E5C"/>
      <w:shd w:val="clear" w:color="auto" w:fill="E1DFDD"/>
    </w:rPr>
  </w:style>
  <w:style w:type="character" w:customStyle="1" w:styleId="Mention2">
    <w:name w:val="Mention2"/>
    <w:basedOn w:val="DefaultParagraphFont"/>
    <w:rPr>
      <w:color w:val="2B579A"/>
      <w:shd w:val="clear" w:color="auto" w:fill="E1DFDD"/>
    </w:rPr>
  </w:style>
  <w:style w:type="character" w:styleId="UnresolvedMention">
    <w:name w:val="Unresolved Mention"/>
    <w:basedOn w:val="DefaultParagraphFont"/>
    <w:qFormat/>
    <w:rPr>
      <w:color w:val="605E5C"/>
      <w:shd w:val="clear" w:color="auto" w:fill="E1DFDD"/>
    </w:rPr>
  </w:style>
  <w:style w:type="character" w:styleId="Mention">
    <w:name w:val="Mention"/>
    <w:basedOn w:val="DefaultParagraphFont"/>
    <w:qFormat/>
    <w:rPr>
      <w:color w:val="2B579A"/>
      <w:shd w:val="clear" w:color="auto" w:fill="E6E6E6"/>
    </w:rPr>
  </w:style>
  <w:style w:type="character" w:customStyle="1" w:styleId="scxw197531517">
    <w:name w:val="scxw197531517"/>
    <w:basedOn w:val="DefaultParagraphFont"/>
  </w:style>
  <w:style w:type="character" w:customStyle="1" w:styleId="scxw77709229">
    <w:name w:val="scxw77709229"/>
    <w:basedOn w:val="DefaultParagraphFont"/>
  </w:style>
  <w:style w:type="character" w:customStyle="1" w:styleId="scxw159347520">
    <w:name w:val="scxw159347520"/>
    <w:basedOn w:val="DefaultParagraphFont"/>
  </w:style>
  <w:style w:type="character" w:customStyle="1" w:styleId="tabchar">
    <w:name w:val="tabchar"/>
    <w:basedOn w:val="DefaultParagraphFont"/>
  </w:style>
  <w:style w:type="paragraph" w:customStyle="1" w:styleId="Heading">
    <w:name w:val="Heading"/>
    <w:basedOn w:val="Normal"/>
    <w:next w:val="BodyText"/>
    <w:qFormat/>
    <w:pPr>
      <w:keepNext/>
      <w:spacing w:after="120"/>
    </w:pPr>
    <w:rPr>
      <w:rFonts w:ascii="Carlito" w:eastAsia="Noto Sans SC Regular" w:hAnsi="Carlito" w:cs="Noto Sans"/>
      <w:sz w:val="28"/>
      <w:szCs w:val="28"/>
    </w:rPr>
  </w:style>
  <w:style w:type="paragraph" w:styleId="BodyText">
    <w:name w:val="Body Text"/>
    <w:basedOn w:val="Normal"/>
    <w:pPr>
      <w:spacing w:before="0" w:after="140" w:line="276" w:lineRule="auto"/>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rPr>
  </w:style>
  <w:style w:type="paragraph" w:customStyle="1" w:styleId="Index">
    <w:name w:val="Index"/>
    <w:basedOn w:val="Normal"/>
    <w:qFormat/>
    <w:pPr>
      <w:suppressLineNumbers/>
    </w:pPr>
    <w:rPr>
      <w:rFonts w:cs="Noto Sans"/>
    </w:rPr>
  </w:style>
  <w:style w:type="paragraph" w:styleId="BalloonText">
    <w:name w:val="Balloon Text"/>
    <w:basedOn w:val="Normal"/>
    <w:qFormat/>
    <w:rPr>
      <w:rFonts w:ascii="Times New Roman" w:hAnsi="Times New Roman" w:cs="Times New Roman"/>
      <w:sz w:val="18"/>
      <w:szCs w:val="18"/>
    </w:rPr>
  </w:style>
  <w:style w:type="paragraph" w:styleId="CommentText">
    <w:name w:val="annotation text"/>
    <w:basedOn w:val="Normal"/>
    <w:pPr>
      <w:spacing w:after="160"/>
    </w:pPr>
    <w:rPr>
      <w:sz w:val="20"/>
      <w:szCs w:val="20"/>
      <w:lang w:val="en-US"/>
    </w:rPr>
  </w:style>
  <w:style w:type="paragraph" w:styleId="ListParagraph">
    <w:name w:val="List Paragraph"/>
    <w:basedOn w:val="Normal"/>
    <w:qFormat/>
    <w:pPr>
      <w:keepNext/>
      <w:ind w:left="720"/>
    </w:pPr>
  </w:style>
  <w:style w:type="paragraph" w:styleId="CommentSubject">
    <w:name w:val="annotation subject"/>
    <w:basedOn w:val="CommentText"/>
    <w:next w:val="CommentText"/>
    <w:qFormat/>
    <w:pPr>
      <w:spacing w:after="0"/>
    </w:pPr>
    <w:rPr>
      <w:b/>
      <w:bCs/>
      <w:lang w:val="en-GB"/>
    </w:rPr>
  </w:style>
  <w:style w:type="paragraph" w:customStyle="1" w:styleId="HeaderandFooter">
    <w:name w:val="Header and Footer"/>
    <w:basedOn w:val="Normal"/>
    <w:qFormat/>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Revision">
    <w:name w:val="Revision"/>
    <w:qFormat/>
    <w:pPr>
      <w:textAlignment w:val="baseline"/>
    </w:pPr>
  </w:style>
  <w:style w:type="paragraph" w:customStyle="1" w:styleId="paragraph">
    <w:name w:val="paragraph"/>
    <w:basedOn w:val="Normal"/>
    <w:pPr>
      <w:spacing w:before="100" w:after="100"/>
    </w:pPr>
    <w:rPr>
      <w:rFonts w:ascii="Times New Roman" w:eastAsia="Times New Roman" w:hAnsi="Times New Roman" w:cs="Times New Roman"/>
      <w:lang w:eastAsia="en-GB"/>
    </w:rPr>
  </w:style>
  <w:style w:type="paragraph" w:styleId="NormalWeb">
    <w:name w:val="Normal (Web)"/>
    <w:basedOn w:val="Normal"/>
    <w:qFormat/>
    <w:rPr>
      <w:rFonts w:ascii="Times New Roman" w:hAnsi="Times New Roman" w:cs="Times New Roman"/>
    </w:rPr>
  </w:style>
  <w:style w:type="paragraph" w:customStyle="1" w:styleId="Normalintable">
    <w:name w:val="Normal in table"/>
    <w:basedOn w:val="Normal"/>
    <w:pPr>
      <w:spacing w:before="0" w:after="0"/>
    </w:pPr>
  </w:style>
  <w:style w:type="paragraph" w:styleId="NoSpacing">
    <w:name w:val="No Spacing"/>
    <w:uiPriority w:val="1"/>
    <w:qFormat/>
    <w:rsid w:val="00A80282"/>
    <w:pPr>
      <w:keepLines/>
      <w:textAlignment w:val="baseline"/>
    </w:pPr>
    <w:rPr>
      <w:rFonts w:ascii="Arial" w:hAnsi="Arial"/>
    </w:rPr>
  </w:style>
  <w:style w:type="paragraph" w:customStyle="1" w:styleId="FrameContents">
    <w:name w:val="Frame Contents"/>
    <w:basedOn w:val="Normal"/>
    <w:qFormat/>
  </w:style>
  <w:style w:type="table" w:styleId="TableGrid">
    <w:name w:val="Table Grid"/>
    <w:basedOn w:val="TableNormal"/>
    <w:uiPriority w:val="39"/>
    <w:rsid w:val="00D23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latformhomeownership.com/assessment-and-affordability-policy"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latformhomeownership.com/cash-buyer-polic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tformhomeownership.com/adverse-policy"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platformhomeownership.com/assessment-and-affordability-policy" TargetMode="External"/><Relationship Id="rId4" Type="http://schemas.openxmlformats.org/officeDocument/2006/relationships/settings" Target="settings.xml"/><Relationship Id="rId9" Type="http://schemas.openxmlformats.org/officeDocument/2006/relationships/hyperlink" Target="https://www.platformhomeownership.com/assessment-and-affordability-polic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86FC5-CF59-4B84-9964-8FBBD4DC1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1481</Words>
  <Characters>7328</Characters>
  <Application>Microsoft Office Word</Application>
  <DocSecurity>0</DocSecurity>
  <Lines>302</Lines>
  <Paragraphs>163</Paragraphs>
  <ScaleCrop>false</ScaleCrop>
  <Company/>
  <LinksUpToDate>false</LinksUpToDate>
  <CharactersWithSpaces>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information about the home</dc:title>
  <dc:subject>Shared ownership</dc:subject>
  <dc:creator>Affordable home ownership team</dc:creator>
  <dc:description>Version 8, 16 July 2021</dc:description>
  <cp:lastModifiedBy>Chloe Finnegan</cp:lastModifiedBy>
  <cp:revision>2</cp:revision>
  <cp:lastPrinted>2026-10-21T08:38:00Z</cp:lastPrinted>
  <dcterms:created xsi:type="dcterms:W3CDTF">2026-10-21T08:54:00Z</dcterms:created>
  <dcterms:modified xsi:type="dcterms:W3CDTF">2026-10-21T08:54:00Z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0x0101007B6F0D51EBDD6E43B52D54A06AEA00E3</vt:lpwstr>
  </property>
  <property fmtid="{D5CDD505-2E9C-101B-9397-08002B2CF9AE}" pid="3" name="MSIP_Label_727fb50e-81d5-40a5-b712-4eff31972ce4_ActionId">
    <vt:lpwstr>6712f87d-f6fb-4a80-af1e-5f84b5bb9b91</vt:lpwstr>
  </property>
  <property fmtid="{D5CDD505-2E9C-101B-9397-08002B2CF9AE}" pid="4" name="MSIP_Label_727fb50e-81d5-40a5-b712-4eff31972ce4_ContentBits">
    <vt:lpwstr>2</vt:lpwstr>
  </property>
  <property fmtid="{D5CDD505-2E9C-101B-9397-08002B2CF9AE}" pid="5" name="MSIP_Label_727fb50e-81d5-40a5-b712-4eff31972ce4_Enabled">
    <vt:lpwstr>true</vt:lpwstr>
  </property>
  <property fmtid="{D5CDD505-2E9C-101B-9397-08002B2CF9AE}" pid="6" name="MSIP_Label_727fb50e-81d5-40a5-b712-4eff31972ce4_Method">
    <vt:lpwstr>Standard</vt:lpwstr>
  </property>
  <property fmtid="{D5CDD505-2E9C-101B-9397-08002B2CF9AE}" pid="7" name="MSIP_Label_727fb50e-81d5-40a5-b712-4eff31972ce4_Name">
    <vt:lpwstr>727fb50e-81d5-40a5-b712-4eff31972ce4</vt:lpwstr>
  </property>
  <property fmtid="{D5CDD505-2E9C-101B-9397-08002B2CF9AE}" pid="8" name="MSIP_Label_727fb50e-81d5-40a5-b712-4eff31972ce4_SetDate">
    <vt:lpwstr>2023-05-10T09:51:58Z</vt:lpwstr>
  </property>
  <property fmtid="{D5CDD505-2E9C-101B-9397-08002B2CF9AE}" pid="9" name="MSIP_Label_727fb50e-81d5-40a5-b712-4eff31972ce4_SiteId">
    <vt:lpwstr>faa8e269-0811-4538-82e7-4d29009219bf</vt:lpwstr>
  </property>
  <property fmtid="{D5CDD505-2E9C-101B-9397-08002B2CF9AE}" pid="10" name="MediaServiceImageTags">
    <vt:lpwstr/>
  </property>
  <property fmtid="{D5CDD505-2E9C-101B-9397-08002B2CF9AE}" pid="11" name="MSIP_Label_a6d6e379-e9de-406e-9dcd-190fddcddbd9_Enabled">
    <vt:lpwstr>true</vt:lpwstr>
  </property>
  <property fmtid="{D5CDD505-2E9C-101B-9397-08002B2CF9AE}" pid="12" name="MSIP_Label_a6d6e379-e9de-406e-9dcd-190fddcddbd9_SetDate">
    <vt:lpwstr>2026-10-18T12:44:41Z</vt:lpwstr>
  </property>
  <property fmtid="{D5CDD505-2E9C-101B-9397-08002B2CF9AE}" pid="13" name="MSIP_Label_a6d6e379-e9de-406e-9dcd-190fddcddbd9_Method">
    <vt:lpwstr>Standard</vt:lpwstr>
  </property>
  <property fmtid="{D5CDD505-2E9C-101B-9397-08002B2CF9AE}" pid="14" name="MSIP_Label_a6d6e379-e9de-406e-9dcd-190fddcddbd9_Name">
    <vt:lpwstr>Internal - No Footer</vt:lpwstr>
  </property>
  <property fmtid="{D5CDD505-2E9C-101B-9397-08002B2CF9AE}" pid="15" name="MSIP_Label_a6d6e379-e9de-406e-9dcd-190fddcddbd9_SiteId">
    <vt:lpwstr>668364d4-3d43-4051-adbc-5bbb517a46fc</vt:lpwstr>
  </property>
  <property fmtid="{D5CDD505-2E9C-101B-9397-08002B2CF9AE}" pid="16" name="MSIP_Label_a6d6e379-e9de-406e-9dcd-190fddcddbd9_ActionId">
    <vt:lpwstr>33fa102a-fcf8-4fef-9f23-049dae1fb6f6</vt:lpwstr>
  </property>
  <property fmtid="{D5CDD505-2E9C-101B-9397-08002B2CF9AE}" pid="17" name="MSIP_Label_a6d6e379-e9de-406e-9dcd-190fddcddbd9_ContentBits">
    <vt:lpwstr>0</vt:lpwstr>
  </property>
  <property fmtid="{D5CDD505-2E9C-101B-9397-08002B2CF9AE}" pid="18" name="MSIP_Label_a6d6e379-e9de-406e-9dcd-190fddcddbd9_Tag">
    <vt:lpwstr>10, 3, 0, 1</vt:lpwstr>
  </property>
</Properties>
</file>